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4C" w:rsidRDefault="008B494C" w:rsidP="008B494C">
      <w:pPr>
        <w:autoSpaceDE w:val="0"/>
        <w:autoSpaceDN w:val="0"/>
        <w:adjustRightInd w:val="0"/>
        <w:spacing w:after="545" w:line="278" w:lineRule="atLeast"/>
        <w:ind w:right="-1127"/>
        <w:jc w:val="both"/>
        <w:rPr>
          <w:rFonts w:ascii="Times" w:hAnsi="Times" w:cs="Times"/>
          <w:sz w:val="23"/>
          <w:szCs w:val="23"/>
        </w:rPr>
      </w:pPr>
      <w:r>
        <w:rPr>
          <w:rFonts w:ascii="Times" w:hAnsi="Times" w:cs="Times"/>
          <w:b/>
          <w:bCs/>
          <w:sz w:val="23"/>
          <w:szCs w:val="23"/>
        </w:rPr>
        <w:t xml:space="preserve">Recent Publications (2003-2019)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 </w:t>
      </w:r>
      <w:r>
        <w:rPr>
          <w:rFonts w:ascii="Times" w:hAnsi="Times" w:cs="Times"/>
          <w:sz w:val="23"/>
          <w:szCs w:val="23"/>
        </w:rPr>
        <w:t xml:space="preserve">G.Ajani, R. Schulze (eds.), Gemeinsame Prinzipien des europaischen Privatrechts, Nomos Verlag, Baden Baden, 2003, pp. 1-429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2. </w:t>
      </w:r>
      <w:r>
        <w:rPr>
          <w:rFonts w:ascii="Times" w:hAnsi="Times" w:cs="Times"/>
          <w:sz w:val="23"/>
          <w:szCs w:val="23"/>
        </w:rPr>
        <w:t xml:space="preserve">G.Ajani, “Legal Taxonomy and European Private Law”, in G.Ajani, R. Schulze (eds.), Gemeinsame Prinzipien des europaischen Privatrechts , Nomos, Baden Baden, 2003, 349-356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3. </w:t>
      </w:r>
      <w:r>
        <w:rPr>
          <w:rFonts w:ascii="Times" w:hAnsi="Times" w:cs="Times"/>
          <w:sz w:val="23"/>
          <w:szCs w:val="23"/>
        </w:rPr>
        <w:t xml:space="preserve">G. Ajani, “Navigatori e giuristi. A proposito del trapianto di nozioni vaghe, in V. Bertorello (ed.), Io comparo, Giuffré, Milan, 2003, pp. 3-19.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4. </w:t>
      </w:r>
      <w:r>
        <w:rPr>
          <w:rFonts w:ascii="Times" w:hAnsi="Times" w:cs="Times"/>
          <w:sz w:val="23"/>
          <w:szCs w:val="23"/>
        </w:rPr>
        <w:t xml:space="preserve">G.Ajani, “Institutional support to SME in Italy and Suggestions for Regulations Relating to Intermediary Institutions Promoting SME in Chinese Law”, in Financial and Economic Committee of the NPC, The Law of the PR of China on the Promotion of Small and Medium Sized Enterprises, CITIC Pub. House, Beijing, 2004, vol. III pp. 531-542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5. </w:t>
      </w:r>
      <w:r>
        <w:rPr>
          <w:rFonts w:ascii="Times" w:hAnsi="Times" w:cs="Times"/>
          <w:sz w:val="23"/>
          <w:szCs w:val="23"/>
        </w:rPr>
        <w:t xml:space="preserve">G.Ajani “Government Support for SME in Italy and Suggestions for a Framework on Government Support for SME in Chinese Law”, in Financial and Economic Committee of the NPC, The Law of the PR of China on the Promotion of Small and Medium Sized Enterprises, CITIC Pub. House, Beijing, 2004, vol III pp. 555-564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6. </w:t>
      </w:r>
      <w:r>
        <w:rPr>
          <w:rFonts w:ascii="Times" w:hAnsi="Times" w:cs="Times"/>
          <w:sz w:val="23"/>
          <w:szCs w:val="23"/>
        </w:rPr>
        <w:t xml:space="preserve">G.Ajani “Principles for a Model Law on SME”, in Financial and Economic Committee of the NPC, The Law of the PR of China on the Promotion of Small and Medium Sized Enterprises, CITIC Pub. House, Beijing, 2004, vol III pp.585-609 </w:t>
      </w:r>
    </w:p>
    <w:p w:rsidR="008B494C" w:rsidRDefault="008B494C" w:rsidP="008B494C">
      <w:pPr>
        <w:autoSpaceDE w:val="0"/>
        <w:autoSpaceDN w:val="0"/>
        <w:adjustRightInd w:val="0"/>
        <w:spacing w:after="125"/>
        <w:ind w:right="-1127"/>
        <w:jc w:val="both"/>
        <w:rPr>
          <w:rFonts w:ascii="Times" w:hAnsi="Times" w:cs="Times"/>
          <w:sz w:val="23"/>
          <w:szCs w:val="23"/>
        </w:rPr>
      </w:pP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7. </w:t>
      </w:r>
      <w:r>
        <w:rPr>
          <w:rFonts w:ascii="Times" w:hAnsi="Times" w:cs="Times"/>
          <w:sz w:val="23"/>
          <w:szCs w:val="23"/>
        </w:rPr>
        <w:t xml:space="preserve">G.Ajani "Return to the codification" (in Chinese language), in 16 Peking University Law Journal, no. 6, 2004, 692-791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8. </w:t>
      </w:r>
      <w:r>
        <w:rPr>
          <w:rFonts w:ascii="Times" w:hAnsi="Times" w:cs="Times"/>
          <w:sz w:val="23"/>
          <w:szCs w:val="23"/>
        </w:rPr>
        <w:t xml:space="preserve">G. Ajani P. Rossi, Codice dei consumatori, Giappichelli,Torino, 2005, pp. i-xiii; 1-344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9. </w:t>
      </w:r>
      <w:r>
        <w:rPr>
          <w:rFonts w:ascii="Times" w:hAnsi="Times" w:cs="Times"/>
          <w:sz w:val="23"/>
          <w:szCs w:val="23"/>
        </w:rPr>
        <w:t xml:space="preserve">G. Ajani, Sistemi giuridici comparati. Lezioni e Materiali, Giappichelli, Torino, 2005, pp. 1-358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10. </w:t>
      </w:r>
      <w:r>
        <w:rPr>
          <w:rFonts w:ascii="Times" w:hAnsi="Times" w:cs="Times"/>
          <w:sz w:val="23"/>
          <w:szCs w:val="23"/>
        </w:rPr>
        <w:t xml:space="preserve">G. Ajani, M. Ebers (eds.), Uniform Terminology for European Private Law, Nomos, Baden Baden 2005,  pp. 1-389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11. </w:t>
      </w:r>
      <w:r>
        <w:rPr>
          <w:rFonts w:ascii="Times" w:hAnsi="Times" w:cs="Times"/>
          <w:sz w:val="23"/>
          <w:szCs w:val="23"/>
        </w:rPr>
        <w:t xml:space="preserve">G. Ajani, M. Ebers, “Introduction”, in G. Ajani, M. Ebers (eds.) Uniform Terminology for European Private Law, Nomos, Baden Baden 2005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12. </w:t>
      </w:r>
      <w:r>
        <w:rPr>
          <w:rFonts w:ascii="Times" w:hAnsi="Times" w:cs="Times"/>
          <w:sz w:val="23"/>
          <w:szCs w:val="23"/>
        </w:rPr>
        <w:t xml:space="preserve">G. Ajani, The Transplant of Vague Notions, in Liber Amicorum Z. Peteri, S. Istvan Tarsulat, Budapest, 2005, pp. 17-37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13. </w:t>
      </w:r>
      <w:r>
        <w:rPr>
          <w:rFonts w:ascii="Times" w:hAnsi="Times" w:cs="Times"/>
          <w:sz w:val="23"/>
          <w:szCs w:val="23"/>
        </w:rPr>
        <w:t xml:space="preserve">G. Ajani, </w:t>
      </w:r>
      <w:r>
        <w:rPr>
          <w:rFonts w:ascii="Times" w:hAnsi="Times" w:cs="Times"/>
          <w:i/>
          <w:iCs/>
          <w:sz w:val="23"/>
          <w:szCs w:val="23"/>
        </w:rPr>
        <w:t>Das Recht der Laender Osteuropas</w:t>
      </w:r>
      <w:r>
        <w:rPr>
          <w:rFonts w:ascii="Times" w:hAnsi="Times" w:cs="Times"/>
          <w:sz w:val="23"/>
          <w:szCs w:val="23"/>
        </w:rPr>
        <w:t xml:space="preserve">, Berliner Wissenschafts Verlag, 2005, pp. 1-253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14. </w:t>
      </w:r>
      <w:r>
        <w:rPr>
          <w:rFonts w:ascii="Times" w:hAnsi="Times" w:cs="Times"/>
          <w:sz w:val="23"/>
          <w:szCs w:val="23"/>
        </w:rPr>
        <w:t xml:space="preserve">G.Ajani “Rule of Law in the PR of China”, Proceedings of the China Law Society, Beijing, October 19-22, 2005 (in Chinese language)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15. </w:t>
      </w:r>
      <w:r>
        <w:rPr>
          <w:rFonts w:ascii="Times" w:hAnsi="Times" w:cs="Times"/>
          <w:sz w:val="23"/>
          <w:szCs w:val="23"/>
        </w:rPr>
        <w:t xml:space="preserve">G. Ajani, "Law and Economic Reform in the Transition from Plan to Market", Int. Encycl. of Comparative Law, vol. XVI State and Economy, R. Buxbaum, F. Madl (eds.),  Mohr, Tubingen, 2006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16. </w:t>
      </w:r>
      <w:r>
        <w:rPr>
          <w:rFonts w:ascii="Times" w:hAnsi="Times" w:cs="Times"/>
          <w:sz w:val="23"/>
          <w:szCs w:val="23"/>
        </w:rPr>
        <w:t xml:space="preserve">G. Ajani, P. Rossi, “Coerenza del diritto privato europeo e multilinguismo”, in V. Jacometti, B. Pozzo (cur.), Le politiche linguistiche delle istituzioni comunitarie dopo l’allargamento, Giuffré, Milano, 2006,  pp. 119-140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17. </w:t>
      </w:r>
      <w:r>
        <w:rPr>
          <w:rFonts w:ascii="Times" w:hAnsi="Times" w:cs="Times"/>
          <w:sz w:val="23"/>
          <w:szCs w:val="23"/>
        </w:rPr>
        <w:t xml:space="preserve">G. Ajani, “La Rule of Law in Cina”, in Mondo Cinese, 2006, n.. 126,  pp. 18-25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18. </w:t>
      </w:r>
      <w:r>
        <w:rPr>
          <w:rFonts w:ascii="Times" w:hAnsi="Times" w:cs="Times"/>
          <w:sz w:val="23"/>
          <w:szCs w:val="23"/>
        </w:rPr>
        <w:t xml:space="preserve">G. Ajani , P. Rossi, “Multilingualism and the Coherence of European Private Law”, in B. Pozzo, V. Jacometti (eds.) Multilingualism and the Harmonization of European Law, Kluwer Law Int., Alphen a/d Rijn, 2006,  pp. 79-91 </w:t>
      </w:r>
    </w:p>
    <w:p w:rsidR="008B494C" w:rsidRDefault="008B494C" w:rsidP="008B494C">
      <w:pPr>
        <w:autoSpaceDE w:val="0"/>
        <w:autoSpaceDN w:val="0"/>
        <w:adjustRightInd w:val="0"/>
        <w:ind w:right="-1127"/>
        <w:jc w:val="both"/>
        <w:rPr>
          <w:rFonts w:ascii="Times" w:hAnsi="Times" w:cs="Times"/>
          <w:sz w:val="23"/>
          <w:szCs w:val="23"/>
        </w:rPr>
      </w:pPr>
      <w:r>
        <w:rPr>
          <w:rFonts w:ascii="Times" w:hAnsi="Times" w:cs="Times"/>
          <w:b/>
          <w:bCs/>
          <w:sz w:val="23"/>
          <w:szCs w:val="23"/>
        </w:rPr>
        <w:t xml:space="preserve">19. </w:t>
      </w:r>
      <w:r>
        <w:rPr>
          <w:rFonts w:ascii="Times" w:hAnsi="Times" w:cs="Times"/>
          <w:sz w:val="23"/>
          <w:szCs w:val="23"/>
        </w:rPr>
        <w:t xml:space="preserve">G.Ajani, L. Lesmo, G. Boella, A. Mazzei, P. Rossi, “Multilingual Conceptual Dictionaries Based on Ontologies”, in Proceedings of the XML Workshop, European Press Academic Pub., C. Biagioli, E. Francesconi, G. Sartor (eds.),  Florence, 2007 </w:t>
      </w:r>
    </w:p>
    <w:p w:rsidR="008B494C" w:rsidRDefault="008B494C" w:rsidP="008B494C">
      <w:pPr>
        <w:autoSpaceDE w:val="0"/>
        <w:autoSpaceDN w:val="0"/>
        <w:adjustRightInd w:val="0"/>
        <w:ind w:right="-1127"/>
        <w:jc w:val="both"/>
        <w:rPr>
          <w:rFonts w:ascii="Times" w:hAnsi="Times" w:cs="Times"/>
          <w:sz w:val="23"/>
          <w:szCs w:val="23"/>
        </w:rPr>
      </w:pPr>
      <w:r>
        <w:rPr>
          <w:rFonts w:ascii="Times" w:hAnsi="Times" w:cs="Times"/>
          <w:b/>
          <w:bCs/>
          <w:sz w:val="23"/>
          <w:szCs w:val="23"/>
        </w:rPr>
        <w:lastRenderedPageBreak/>
        <w:t xml:space="preserve">20. </w:t>
      </w:r>
      <w:r>
        <w:rPr>
          <w:rFonts w:ascii="Times" w:hAnsi="Times" w:cs="Times"/>
          <w:sz w:val="23"/>
          <w:szCs w:val="23"/>
        </w:rPr>
        <w:t xml:space="preserve">G. Ajani, “Alcune considerazioni su comparazione giuridica, traduzione e ‘coerenza’ del diritto privato europeo”, in E. Ioriatti Ferrari (cur.), La traduzione del diritto comunitario ed europeo: riflessioni metodologiche, Univ. di Trento, Trento, 2007, pp. 113-131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21. </w:t>
      </w:r>
      <w:r>
        <w:rPr>
          <w:rFonts w:ascii="Times" w:hAnsi="Times" w:cs="Times"/>
          <w:sz w:val="23"/>
          <w:szCs w:val="23"/>
        </w:rPr>
        <w:t xml:space="preserve">G .Ajani, A. Serafino, M. Timoteo, </w:t>
      </w:r>
      <w:r>
        <w:rPr>
          <w:rFonts w:ascii="Times" w:hAnsi="Times" w:cs="Times"/>
          <w:i/>
          <w:iCs/>
          <w:sz w:val="23"/>
          <w:szCs w:val="23"/>
        </w:rPr>
        <w:t>Diritto dell’Asia Orientale</w:t>
      </w:r>
      <w:r>
        <w:rPr>
          <w:rFonts w:ascii="Times" w:hAnsi="Times" w:cs="Times"/>
          <w:sz w:val="23"/>
          <w:szCs w:val="23"/>
        </w:rPr>
        <w:t xml:space="preserve">, UTET, Torino, 2007 pp i-xiii,  1-480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22. </w:t>
      </w:r>
      <w:r>
        <w:rPr>
          <w:rFonts w:ascii="Times" w:hAnsi="Times" w:cs="Times"/>
          <w:sz w:val="23"/>
          <w:szCs w:val="23"/>
        </w:rPr>
        <w:t xml:space="preserve">G. Ajani, “Cohérence du droit privé européen et multilinguisme: deux principes qui  s’opposent ? ”,  </w:t>
      </w:r>
      <w:r>
        <w:rPr>
          <w:rFonts w:ascii="Times" w:hAnsi="Times" w:cs="Times"/>
          <w:i/>
          <w:iCs/>
          <w:sz w:val="23"/>
          <w:szCs w:val="23"/>
        </w:rPr>
        <w:t>Revue Droit des Affaires Int</w:t>
      </w:r>
      <w:r>
        <w:rPr>
          <w:rFonts w:ascii="Times" w:hAnsi="Times" w:cs="Times"/>
          <w:sz w:val="23"/>
          <w:szCs w:val="23"/>
        </w:rPr>
        <w:t xml:space="preserve">., 2007, pp. 493-507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23. </w:t>
      </w:r>
      <w:r>
        <w:rPr>
          <w:rFonts w:ascii="Times" w:hAnsi="Times" w:cs="Times"/>
          <w:sz w:val="23"/>
          <w:szCs w:val="23"/>
        </w:rPr>
        <w:t xml:space="preserve">G.Ajani, “Terminology and Search Functions”, in 25 Years of European Law Online, Publications Office of the EC, Luxembourg, 2007, pp. 129-136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24. </w:t>
      </w:r>
      <w:r>
        <w:rPr>
          <w:rFonts w:ascii="Times" w:hAnsi="Times" w:cs="Times"/>
          <w:sz w:val="23"/>
          <w:szCs w:val="23"/>
        </w:rPr>
        <w:t xml:space="preserve">G. Ajani, “E pluribus unum (?). Illusioni dell’armonizzazione e utilità dell’ontologia”, in 47 </w:t>
      </w:r>
      <w:r>
        <w:rPr>
          <w:rFonts w:ascii="Times" w:hAnsi="Times" w:cs="Times"/>
          <w:i/>
          <w:iCs/>
          <w:sz w:val="23"/>
          <w:szCs w:val="23"/>
        </w:rPr>
        <w:t>Rivista di Estetica</w:t>
      </w:r>
      <w:r>
        <w:rPr>
          <w:rFonts w:ascii="Times" w:hAnsi="Times" w:cs="Times"/>
          <w:sz w:val="23"/>
          <w:szCs w:val="23"/>
        </w:rPr>
        <w:t xml:space="preserve">, 2007, pp. 13-26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25. </w:t>
      </w:r>
      <w:r>
        <w:rPr>
          <w:rFonts w:ascii="Times" w:hAnsi="Times" w:cs="Times"/>
          <w:sz w:val="23"/>
          <w:szCs w:val="23"/>
        </w:rPr>
        <w:t xml:space="preserve">G.Ajani, “Transplants, Legal Borrowings and Reception”, in </w:t>
      </w:r>
      <w:r>
        <w:rPr>
          <w:rFonts w:ascii="Times" w:hAnsi="Times" w:cs="Times"/>
          <w:i/>
          <w:iCs/>
          <w:sz w:val="23"/>
          <w:szCs w:val="23"/>
        </w:rPr>
        <w:t xml:space="preserve">Encyclopedia of Law and Society </w:t>
      </w:r>
      <w:r>
        <w:rPr>
          <w:rFonts w:ascii="Times" w:hAnsi="Times" w:cs="Times"/>
          <w:sz w:val="23"/>
          <w:szCs w:val="23"/>
        </w:rPr>
        <w:t xml:space="preserve">(D.Clark Gen. Ed.), New York, 2007, vol. 3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26. </w:t>
      </w:r>
      <w:r>
        <w:rPr>
          <w:rFonts w:ascii="Times" w:hAnsi="Times" w:cs="Times"/>
          <w:sz w:val="23"/>
          <w:szCs w:val="23"/>
        </w:rPr>
        <w:t xml:space="preserve">G.Ajani, “Le multilinguisme, les langues du droit et la recherche de cohérence du droit privé européen, in G.Ajani, G. Peruginelli, G. Sartor, D. Tiscornia (eds.), </w:t>
      </w:r>
      <w:r>
        <w:rPr>
          <w:rFonts w:ascii="Times" w:hAnsi="Times" w:cs="Times"/>
          <w:i/>
          <w:iCs/>
          <w:sz w:val="23"/>
          <w:szCs w:val="23"/>
        </w:rPr>
        <w:t>The Multilanguage Complexity of European La</w:t>
      </w:r>
      <w:r>
        <w:rPr>
          <w:rFonts w:ascii="Times" w:hAnsi="Times" w:cs="Times"/>
          <w:sz w:val="23"/>
          <w:szCs w:val="23"/>
        </w:rPr>
        <w:t xml:space="preserve">w, European Press, 2007, pp. 23-39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27. </w:t>
      </w:r>
      <w:r>
        <w:rPr>
          <w:rFonts w:ascii="Times" w:hAnsi="Times" w:cs="Times"/>
          <w:sz w:val="23"/>
          <w:szCs w:val="23"/>
        </w:rPr>
        <w:t xml:space="preserve">G.Ajani, “Legal Change and Institutional Reforms”, in </w:t>
      </w:r>
      <w:r>
        <w:rPr>
          <w:rFonts w:ascii="Times" w:hAnsi="Times" w:cs="Times"/>
          <w:i/>
          <w:iCs/>
          <w:sz w:val="23"/>
          <w:szCs w:val="23"/>
        </w:rPr>
        <w:t>Ret tog tolerance. Festkrift til Helge Johan Thue</w:t>
      </w:r>
      <w:r>
        <w:rPr>
          <w:rFonts w:ascii="Times" w:hAnsi="Times" w:cs="Times"/>
          <w:sz w:val="23"/>
          <w:szCs w:val="23"/>
        </w:rPr>
        <w:t xml:space="preserve">, Glydendal Norsk Forlag, Oslo, 2007, pp. 473-497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28. </w:t>
      </w:r>
      <w:r>
        <w:rPr>
          <w:rFonts w:ascii="Times" w:hAnsi="Times" w:cs="Times"/>
          <w:sz w:val="23"/>
          <w:szCs w:val="23"/>
        </w:rPr>
        <w:t xml:space="preserve">G.Ajani, (with S. Stafutti), </w:t>
      </w:r>
      <w:r>
        <w:rPr>
          <w:rFonts w:ascii="Times" w:hAnsi="Times" w:cs="Times"/>
          <w:i/>
          <w:iCs/>
          <w:sz w:val="23"/>
          <w:szCs w:val="23"/>
        </w:rPr>
        <w:t>Colpirne uno per educarne cento</w:t>
      </w:r>
      <w:r>
        <w:rPr>
          <w:rFonts w:ascii="Times" w:hAnsi="Times" w:cs="Times"/>
          <w:sz w:val="23"/>
          <w:szCs w:val="23"/>
        </w:rPr>
        <w:t xml:space="preserve">. </w:t>
      </w:r>
      <w:r>
        <w:rPr>
          <w:rFonts w:ascii="Times" w:hAnsi="Times" w:cs="Times"/>
          <w:i/>
          <w:iCs/>
          <w:sz w:val="23"/>
          <w:szCs w:val="23"/>
        </w:rPr>
        <w:t>Slogans e parole d’ordine per capire la Cina contemporanea</w:t>
      </w:r>
      <w:r>
        <w:rPr>
          <w:rFonts w:ascii="Times" w:hAnsi="Times" w:cs="Times"/>
          <w:sz w:val="23"/>
          <w:szCs w:val="23"/>
        </w:rPr>
        <w:t xml:space="preserve">, Einaudi, Torino, 2008, pp. 1-168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29. </w:t>
      </w:r>
      <w:r>
        <w:rPr>
          <w:rFonts w:ascii="Times" w:hAnsi="Times" w:cs="Times"/>
          <w:sz w:val="23"/>
          <w:szCs w:val="23"/>
        </w:rPr>
        <w:t xml:space="preserve">G.Ajani, “A Better Coherence of EU Private Law and Multilingualism”, in R Schulze (ed.), </w:t>
      </w:r>
      <w:r>
        <w:rPr>
          <w:rFonts w:ascii="Times" w:hAnsi="Times" w:cs="Times"/>
          <w:i/>
          <w:iCs/>
          <w:sz w:val="23"/>
          <w:szCs w:val="23"/>
        </w:rPr>
        <w:t xml:space="preserve">Common Frame of Reference and Existing EC Contract Law, </w:t>
      </w:r>
      <w:r>
        <w:rPr>
          <w:rFonts w:ascii="Times" w:hAnsi="Times" w:cs="Times"/>
          <w:sz w:val="23"/>
          <w:szCs w:val="23"/>
        </w:rPr>
        <w:t xml:space="preserve">Sellier, Munchen, 2008, pp.33-46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30. </w:t>
      </w:r>
      <w:r>
        <w:rPr>
          <w:rFonts w:ascii="Times" w:hAnsi="Times" w:cs="Times"/>
          <w:sz w:val="23"/>
          <w:szCs w:val="23"/>
        </w:rPr>
        <w:t xml:space="preserve">G. Ajani (with J. Luther, eds.), </w:t>
      </w:r>
      <w:r>
        <w:rPr>
          <w:rFonts w:ascii="Times" w:hAnsi="Times" w:cs="Times"/>
          <w:i/>
          <w:iCs/>
          <w:sz w:val="23"/>
          <w:szCs w:val="23"/>
        </w:rPr>
        <w:t>Modelli giuridici europei nella Cina contemporanea</w:t>
      </w:r>
      <w:r>
        <w:rPr>
          <w:rFonts w:ascii="Times" w:hAnsi="Times" w:cs="Times"/>
          <w:sz w:val="23"/>
          <w:szCs w:val="23"/>
        </w:rPr>
        <w:t xml:space="preserve">, Jovene, Napoli, 2009, pp. 1-368)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31. </w:t>
      </w:r>
      <w:r>
        <w:rPr>
          <w:rFonts w:ascii="Times" w:hAnsi="Times" w:cs="Times"/>
          <w:sz w:val="23"/>
          <w:szCs w:val="23"/>
        </w:rPr>
        <w:t xml:space="preserve">G.Ajani (with P. Casanovas, U. Pagallo, G. Sartor eds.), </w:t>
      </w:r>
      <w:r>
        <w:rPr>
          <w:rFonts w:ascii="Times" w:hAnsi="Times" w:cs="Times"/>
          <w:i/>
          <w:iCs/>
          <w:sz w:val="23"/>
          <w:szCs w:val="23"/>
        </w:rPr>
        <w:t>AI Approaches to the Complexity of Legal Systems</w:t>
      </w:r>
      <w:r>
        <w:rPr>
          <w:rFonts w:ascii="Times" w:hAnsi="Times" w:cs="Times"/>
          <w:sz w:val="23"/>
          <w:szCs w:val="23"/>
        </w:rPr>
        <w:t xml:space="preserve">, Spinger, 2010, pp. 1-241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32. </w:t>
      </w:r>
      <w:r>
        <w:rPr>
          <w:rFonts w:ascii="Times" w:hAnsi="Times" w:cs="Times"/>
          <w:sz w:val="23"/>
          <w:szCs w:val="23"/>
        </w:rPr>
        <w:t xml:space="preserve">G.Ajani (with A. Donati, eds.), I diritti dell’arte contemporanea, Allemandi, Torino, 2011, pp. 1-204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33. </w:t>
      </w:r>
      <w:r>
        <w:rPr>
          <w:rFonts w:ascii="Times" w:hAnsi="Times" w:cs="Times"/>
          <w:sz w:val="23"/>
          <w:szCs w:val="23"/>
        </w:rPr>
        <w:t xml:space="preserve">G. Ajani, Trapianto di norme ‘informato’ e globalizzazione: alcune considerazioni, in </w:t>
      </w:r>
      <w:r>
        <w:rPr>
          <w:rFonts w:ascii="Times" w:hAnsi="Times" w:cs="Times"/>
          <w:i/>
          <w:iCs/>
          <w:sz w:val="23"/>
          <w:szCs w:val="23"/>
        </w:rPr>
        <w:t>Studi in onore di Aldo Frignani</w:t>
      </w:r>
      <w:r>
        <w:rPr>
          <w:rFonts w:ascii="Times" w:hAnsi="Times" w:cs="Times"/>
          <w:sz w:val="23"/>
          <w:szCs w:val="23"/>
        </w:rPr>
        <w:t xml:space="preserve">, Jovene, Napoli, 2011, pp. 3-16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34. </w:t>
      </w:r>
      <w:r>
        <w:rPr>
          <w:rFonts w:ascii="Times" w:hAnsi="Times" w:cs="Times"/>
          <w:sz w:val="23"/>
          <w:szCs w:val="23"/>
        </w:rPr>
        <w:t xml:space="preserve">G.Ajani, “Diritto privato europeo: nuove complessità”, in </w:t>
      </w:r>
      <w:r>
        <w:rPr>
          <w:rFonts w:ascii="Times" w:hAnsi="Times" w:cs="Times"/>
          <w:i/>
          <w:iCs/>
          <w:sz w:val="23"/>
          <w:szCs w:val="23"/>
        </w:rPr>
        <w:t>Contratto e impresa Europa</w:t>
      </w:r>
      <w:r>
        <w:rPr>
          <w:rFonts w:ascii="Times" w:hAnsi="Times" w:cs="Times"/>
          <w:sz w:val="23"/>
          <w:szCs w:val="23"/>
        </w:rPr>
        <w:t xml:space="preserve">, 2012, n. 1 </w:t>
      </w:r>
    </w:p>
    <w:p w:rsidR="008B494C" w:rsidRDefault="008B494C" w:rsidP="008B494C">
      <w:pPr>
        <w:autoSpaceDE w:val="0"/>
        <w:autoSpaceDN w:val="0"/>
        <w:adjustRightInd w:val="0"/>
        <w:spacing w:after="130"/>
        <w:ind w:right="-1127"/>
        <w:jc w:val="both"/>
        <w:rPr>
          <w:rFonts w:ascii="Times" w:hAnsi="Times" w:cs="Times"/>
          <w:sz w:val="23"/>
          <w:szCs w:val="23"/>
        </w:rPr>
      </w:pPr>
      <w:r>
        <w:rPr>
          <w:rFonts w:ascii="Times" w:hAnsi="Times" w:cs="Times"/>
          <w:b/>
          <w:bCs/>
          <w:sz w:val="23"/>
          <w:szCs w:val="23"/>
        </w:rPr>
        <w:t xml:space="preserve">35. </w:t>
      </w:r>
      <w:r>
        <w:rPr>
          <w:rFonts w:ascii="Times" w:hAnsi="Times" w:cs="Times"/>
          <w:sz w:val="23"/>
          <w:szCs w:val="23"/>
        </w:rPr>
        <w:t xml:space="preserve">G.Ajani, “Il codice civile albanese,” in Annuario di diritto comparato e studi legislativi, 2014 </w:t>
      </w:r>
    </w:p>
    <w:p w:rsidR="008B494C" w:rsidRDefault="008B494C" w:rsidP="008B494C">
      <w:pPr>
        <w:autoSpaceDE w:val="0"/>
        <w:autoSpaceDN w:val="0"/>
        <w:adjustRightInd w:val="0"/>
        <w:ind w:right="-1127"/>
        <w:jc w:val="both"/>
        <w:rPr>
          <w:rFonts w:ascii="Helvetica" w:hAnsi="Helvetica" w:cs="Helvetica"/>
          <w:color w:val="0000FF"/>
          <w:sz w:val="20"/>
          <w:szCs w:val="20"/>
          <w:u w:val="single"/>
        </w:rPr>
      </w:pPr>
      <w:r>
        <w:rPr>
          <w:rFonts w:ascii="Times" w:hAnsi="Times" w:cs="Times"/>
          <w:b/>
          <w:bCs/>
          <w:sz w:val="23"/>
          <w:szCs w:val="23"/>
        </w:rPr>
        <w:t>36</w:t>
      </w:r>
      <w:r>
        <w:rPr>
          <w:rFonts w:ascii="Times" w:hAnsi="Times" w:cs="Times"/>
          <w:b/>
          <w:bCs/>
          <w:sz w:val="22"/>
          <w:szCs w:val="22"/>
        </w:rPr>
        <w:t>.</w:t>
      </w:r>
      <w:r>
        <w:rPr>
          <w:rFonts w:ascii="Times" w:hAnsi="Times" w:cs="Times"/>
          <w:b/>
          <w:bCs/>
          <w:sz w:val="19"/>
          <w:szCs w:val="19"/>
        </w:rPr>
        <w:t xml:space="preserve"> </w:t>
      </w:r>
      <w:r>
        <w:rPr>
          <w:rFonts w:ascii="Times" w:hAnsi="Times" w:cs="Times"/>
          <w:sz w:val="23"/>
          <w:szCs w:val="23"/>
        </w:rPr>
        <w:t xml:space="preserve">G.Ajani, G. Boella, et al., “The European Taxonomy Syllabus: A multi-lingual, multi-level ontology framework to untangle the web of European legal t erminology”, in </w:t>
      </w:r>
      <w:r>
        <w:rPr>
          <w:rFonts w:ascii="Times" w:hAnsi="Times" w:cs="Times"/>
          <w:i/>
          <w:iCs/>
          <w:sz w:val="23"/>
          <w:szCs w:val="23"/>
        </w:rPr>
        <w:t xml:space="preserve">Applied Ontology, </w:t>
      </w:r>
      <w:r>
        <w:rPr>
          <w:rFonts w:ascii="Times" w:hAnsi="Times" w:cs="Times"/>
          <w:sz w:val="23"/>
          <w:szCs w:val="23"/>
        </w:rPr>
        <w:t xml:space="preserve">2016, pp. 325-375 </w:t>
      </w:r>
      <w:hyperlink r:id="rId4" w:history="1">
        <w:r>
          <w:rPr>
            <w:rFonts w:ascii="Helvetica" w:hAnsi="Helvetica" w:cs="Helvetica"/>
            <w:color w:val="0000FF"/>
            <w:sz w:val="20"/>
            <w:szCs w:val="20"/>
            <w:u w:val="single"/>
          </w:rPr>
          <w:t>www.iospress.nl/loadtop/load.php?isbn=15705838</w:t>
        </w:r>
      </w:hyperlink>
    </w:p>
    <w:p w:rsidR="008B494C" w:rsidRDefault="008B494C" w:rsidP="008B494C">
      <w:pPr>
        <w:autoSpaceDE w:val="0"/>
        <w:autoSpaceDN w:val="0"/>
        <w:adjustRightInd w:val="0"/>
        <w:ind w:right="-1127"/>
        <w:jc w:val="both"/>
        <w:rPr>
          <w:rFonts w:ascii="Helvetica" w:hAnsi="Helvetica" w:cs="Helvetica"/>
          <w:color w:val="0000FF"/>
          <w:sz w:val="20"/>
          <w:szCs w:val="20"/>
          <w:u w:val="single"/>
        </w:rPr>
      </w:pP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37. </w:t>
      </w:r>
      <w:r>
        <w:rPr>
          <w:rFonts w:ascii="Times" w:hAnsi="Times" w:cs="Times"/>
          <w:sz w:val="23"/>
          <w:szCs w:val="23"/>
        </w:rPr>
        <w:t xml:space="preserve">G.Ajani, “Le traduzioni delle nozioni vaghe”, in </w:t>
      </w:r>
      <w:r>
        <w:rPr>
          <w:rFonts w:ascii="Times" w:hAnsi="Times" w:cs="Times"/>
          <w:i/>
          <w:iCs/>
          <w:sz w:val="23"/>
          <w:szCs w:val="23"/>
        </w:rPr>
        <w:t>The Cardozo Electronic Law Bulletin</w:t>
      </w:r>
      <w:r>
        <w:rPr>
          <w:rFonts w:ascii="Times" w:hAnsi="Times" w:cs="Times"/>
          <w:sz w:val="23"/>
          <w:szCs w:val="23"/>
        </w:rPr>
        <w:t xml:space="preserve">, 2017 pp.1-18. </w:t>
      </w:r>
    </w:p>
    <w:p w:rsidR="008B494C" w:rsidRDefault="008B494C" w:rsidP="008B494C">
      <w:pPr>
        <w:autoSpaceDE w:val="0"/>
        <w:autoSpaceDN w:val="0"/>
        <w:adjustRightInd w:val="0"/>
        <w:spacing w:after="125"/>
        <w:ind w:right="-1127"/>
        <w:jc w:val="both"/>
        <w:rPr>
          <w:rFonts w:ascii="Times" w:hAnsi="Times" w:cs="Times"/>
          <w:sz w:val="23"/>
          <w:szCs w:val="23"/>
        </w:rPr>
      </w:pPr>
      <w:r>
        <w:rPr>
          <w:rFonts w:ascii="Times" w:hAnsi="Times" w:cs="Times"/>
          <w:b/>
          <w:bCs/>
          <w:sz w:val="23"/>
          <w:szCs w:val="23"/>
        </w:rPr>
        <w:t xml:space="preserve">38. </w:t>
      </w:r>
      <w:r>
        <w:rPr>
          <w:rFonts w:ascii="Times" w:hAnsi="Times" w:cs="Times"/>
          <w:sz w:val="23"/>
          <w:szCs w:val="23"/>
        </w:rPr>
        <w:t xml:space="preserve">G.Ajani, “Ruling by Indicators: How the Use of Vague Notions and Quantitative Indicators Facilitates Legal Change”, in </w:t>
      </w:r>
      <w:r>
        <w:rPr>
          <w:rFonts w:ascii="Times" w:hAnsi="Times" w:cs="Times"/>
          <w:i/>
          <w:iCs/>
          <w:sz w:val="23"/>
          <w:szCs w:val="23"/>
        </w:rPr>
        <w:t>Cardozo Electronic Law Bulletin</w:t>
      </w:r>
      <w:r>
        <w:rPr>
          <w:rFonts w:ascii="Times" w:hAnsi="Times" w:cs="Times"/>
          <w:sz w:val="23"/>
          <w:szCs w:val="23"/>
        </w:rPr>
        <w:t xml:space="preserve">, 2017, pp. 3-25 </w:t>
      </w:r>
    </w:p>
    <w:p w:rsidR="008B494C" w:rsidRDefault="008B494C" w:rsidP="008B494C">
      <w:pPr>
        <w:autoSpaceDE w:val="0"/>
        <w:autoSpaceDN w:val="0"/>
        <w:adjustRightInd w:val="0"/>
        <w:ind w:right="-1127"/>
        <w:jc w:val="both"/>
        <w:rPr>
          <w:rFonts w:ascii="Times" w:hAnsi="Times" w:cs="Times"/>
          <w:sz w:val="23"/>
          <w:szCs w:val="23"/>
        </w:rPr>
      </w:pPr>
      <w:r>
        <w:rPr>
          <w:rFonts w:ascii="Times" w:hAnsi="Times" w:cs="Times"/>
          <w:b/>
          <w:bCs/>
          <w:sz w:val="23"/>
          <w:szCs w:val="23"/>
        </w:rPr>
        <w:t xml:space="preserve">39. </w:t>
      </w:r>
      <w:r>
        <w:rPr>
          <w:rFonts w:ascii="Times" w:hAnsi="Times" w:cs="Times"/>
          <w:sz w:val="23"/>
          <w:szCs w:val="23"/>
        </w:rPr>
        <w:t xml:space="preserve">G.Ajani, R. Cavallo </w:t>
      </w:r>
      <w:r>
        <w:rPr>
          <w:rFonts w:ascii="Times" w:hAnsi="Times" w:cs="Times"/>
          <w:i/>
          <w:iCs/>
          <w:sz w:val="23"/>
          <w:szCs w:val="23"/>
        </w:rPr>
        <w:t>Perin</w:t>
      </w:r>
      <w:r>
        <w:rPr>
          <w:rFonts w:ascii="Times" w:hAnsi="Times" w:cs="Times"/>
          <w:sz w:val="23"/>
          <w:szCs w:val="23"/>
        </w:rPr>
        <w:t xml:space="preserve">, B. Gagliardi, “L’Università: un’amministrazione pubblica particolare”, in </w:t>
      </w:r>
      <w:r>
        <w:rPr>
          <w:rFonts w:ascii="Times" w:hAnsi="Times" w:cs="Times"/>
          <w:i/>
          <w:iCs/>
          <w:sz w:val="23"/>
          <w:szCs w:val="23"/>
        </w:rPr>
        <w:t>Federalismi.it</w:t>
      </w:r>
      <w:r>
        <w:rPr>
          <w:rFonts w:ascii="Times" w:hAnsi="Times" w:cs="Times"/>
          <w:sz w:val="23"/>
          <w:szCs w:val="23"/>
        </w:rPr>
        <w:t xml:space="preserve">, 14/2017, pp. 1-12 </w:t>
      </w:r>
    </w:p>
    <w:p w:rsidR="008B494C" w:rsidRDefault="008B494C" w:rsidP="008B494C">
      <w:pPr>
        <w:autoSpaceDE w:val="0"/>
        <w:autoSpaceDN w:val="0"/>
        <w:adjustRightInd w:val="0"/>
        <w:ind w:right="-1127"/>
        <w:jc w:val="both"/>
        <w:rPr>
          <w:rFonts w:ascii="Helvetica" w:hAnsi="Helvetica" w:cs="Helvetica"/>
          <w:color w:val="0000FF"/>
          <w:sz w:val="20"/>
          <w:szCs w:val="20"/>
          <w:u w:val="single"/>
        </w:rPr>
      </w:pPr>
    </w:p>
    <w:p w:rsidR="008B494C" w:rsidRDefault="008B494C" w:rsidP="008B494C">
      <w:pPr>
        <w:autoSpaceDE w:val="0"/>
        <w:autoSpaceDN w:val="0"/>
        <w:adjustRightInd w:val="0"/>
        <w:ind w:right="-1127"/>
        <w:jc w:val="both"/>
        <w:rPr>
          <w:rFonts w:ascii="Times" w:hAnsi="Times" w:cs="Times"/>
          <w:sz w:val="23"/>
          <w:szCs w:val="23"/>
        </w:rPr>
      </w:pPr>
      <w:r>
        <w:rPr>
          <w:rFonts w:ascii="Times" w:hAnsi="Times" w:cs="Times"/>
          <w:b/>
          <w:bCs/>
          <w:sz w:val="23"/>
          <w:szCs w:val="23"/>
        </w:rPr>
        <w:t>40.</w:t>
      </w:r>
      <w:r>
        <w:rPr>
          <w:rFonts w:ascii="Times" w:hAnsi="Times" w:cs="Times"/>
          <w:sz w:val="23"/>
          <w:szCs w:val="23"/>
        </w:rPr>
        <w:t xml:space="preserve"> G., Ajani, S. Ferreri, “Comparative Law  and  Multicultural Legal Classes: Challenge or Opportunity ? “, in Annuario di diritto comparato e studi legislativi, 2018, pp. 1-25</w:t>
      </w:r>
    </w:p>
    <w:p w:rsidR="008B494C" w:rsidRDefault="008B494C" w:rsidP="008B494C">
      <w:pPr>
        <w:autoSpaceDE w:val="0"/>
        <w:autoSpaceDN w:val="0"/>
        <w:adjustRightInd w:val="0"/>
        <w:ind w:right="-1127"/>
        <w:jc w:val="both"/>
        <w:rPr>
          <w:rFonts w:ascii="Times" w:hAnsi="Times" w:cs="Times"/>
          <w:sz w:val="23"/>
          <w:szCs w:val="23"/>
        </w:rPr>
      </w:pPr>
    </w:p>
    <w:p w:rsidR="008B494C" w:rsidRDefault="008B494C" w:rsidP="008B494C">
      <w:r>
        <w:rPr>
          <w:rFonts w:ascii="Times" w:hAnsi="Times" w:cs="Times"/>
          <w:b/>
          <w:bCs/>
          <w:sz w:val="23"/>
          <w:szCs w:val="23"/>
        </w:rPr>
        <w:t xml:space="preserve">41. </w:t>
      </w:r>
      <w:r>
        <w:rPr>
          <w:rFonts w:ascii="Times" w:hAnsi="Times" w:cs="Times"/>
          <w:sz w:val="23"/>
          <w:szCs w:val="23"/>
        </w:rPr>
        <w:t>G. Ajani, “Russian Liberalism and the Rule of Law: Notes from Underground”, in (R.M. Cucciolla ed.) Dimensions and Challenges of Russian Liberalism, Springer, 2019, pp. 15-26</w:t>
      </w:r>
      <w:bookmarkStart w:id="0" w:name="_GoBack"/>
      <w:bookmarkEnd w:id="0"/>
    </w:p>
    <w:sectPr w:rsidR="008B494C" w:rsidSect="005457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4C"/>
    <w:rsid w:val="0054572E"/>
    <w:rsid w:val="008B4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043747-23CE-474F-93C5-ECB342C6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ospress.nl/loadtop/load.php?isbn=1570583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gianmariafederico.ajani@gmail.com</dc:creator>
  <cp:keywords/>
  <dc:description/>
  <cp:lastModifiedBy>gianmariafederico.ajani@gmail.com</cp:lastModifiedBy>
  <cp:revision>1</cp:revision>
  <dcterms:created xsi:type="dcterms:W3CDTF">2020-02-25T17:55:00Z</dcterms:created>
  <dcterms:modified xsi:type="dcterms:W3CDTF">2020-02-25T17:55:00Z</dcterms:modified>
</cp:coreProperties>
</file>