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6" w:type="dxa"/>
        <w:jc w:val="center"/>
        <w:tblLayout w:type="fixed"/>
        <w:tblCellMar>
          <w:left w:w="115" w:type="dxa"/>
          <w:right w:w="115" w:type="dxa"/>
        </w:tblCellMar>
        <w:tblLook w:val="0000" w:firstRow="0" w:lastRow="0" w:firstColumn="0" w:lastColumn="0" w:noHBand="0" w:noVBand="0"/>
      </w:tblPr>
      <w:tblGrid>
        <w:gridCol w:w="4248"/>
        <w:gridCol w:w="2051"/>
        <w:gridCol w:w="1422"/>
        <w:gridCol w:w="2665"/>
      </w:tblGrid>
      <w:tr w:rsidR="0054471F" w:rsidRPr="00B85597" w14:paraId="658448DE" w14:textId="77777777" w:rsidTr="0024784C">
        <w:trPr>
          <w:trHeight w:hRule="exact" w:val="879"/>
          <w:jc w:val="center"/>
        </w:trPr>
        <w:tc>
          <w:tcPr>
            <w:tcW w:w="10386" w:type="dxa"/>
            <w:gridSpan w:val="4"/>
            <w:tcBorders>
              <w:top w:val="single" w:sz="6" w:space="0" w:color="auto"/>
              <w:left w:val="nil"/>
              <w:bottom w:val="single" w:sz="6" w:space="0" w:color="auto"/>
              <w:right w:val="nil"/>
            </w:tcBorders>
            <w:vAlign w:val="bottom"/>
          </w:tcPr>
          <w:p w14:paraId="4DC53ACD" w14:textId="77777777" w:rsidR="0054471F" w:rsidRPr="00B85597" w:rsidRDefault="0054471F" w:rsidP="00DD4C78">
            <w:pPr>
              <w:pStyle w:val="Titolo1"/>
              <w:jc w:val="both"/>
            </w:pPr>
            <w:r w:rsidRPr="00B85597">
              <w:t>BIOGRAPHICAL SKETCH</w:t>
            </w:r>
          </w:p>
          <w:p w14:paraId="226DB34D" w14:textId="77777777" w:rsidR="0054471F" w:rsidRPr="00B85597" w:rsidRDefault="0054471F" w:rsidP="00DD4C78">
            <w:pPr>
              <w:pStyle w:val="HeadNoteNotItalics"/>
              <w:jc w:val="both"/>
            </w:pPr>
            <w:r w:rsidRPr="00B85597">
              <w:t xml:space="preserve">Provide the following information for the </w:t>
            </w:r>
            <w:r w:rsidR="0014571A" w:rsidRPr="00B85597">
              <w:t>Senior/</w:t>
            </w:r>
            <w:r w:rsidRPr="00B85597">
              <w:t xml:space="preserve">key personnel </w:t>
            </w:r>
            <w:r w:rsidR="00934124" w:rsidRPr="00B85597">
              <w:t xml:space="preserve">and other significant contributors </w:t>
            </w:r>
            <w:r w:rsidRPr="00B85597">
              <w:t>in the order listed on Form Page 2.</w:t>
            </w:r>
            <w:r w:rsidRPr="00B85597">
              <w:br w:type="textWrapping" w:clear="all"/>
              <w:t xml:space="preserve">Follow this format for each person. </w:t>
            </w:r>
            <w:r w:rsidRPr="00B85597">
              <w:rPr>
                <w:b/>
                <w:bCs/>
              </w:rPr>
              <w:t xml:space="preserve"> DO NOT EXCEED FOUR PAGES.</w:t>
            </w:r>
          </w:p>
        </w:tc>
      </w:tr>
      <w:tr w:rsidR="00E06C66" w:rsidRPr="00B85597" w14:paraId="30429E1F" w14:textId="77777777" w:rsidTr="0024784C">
        <w:trPr>
          <w:trHeight w:hRule="exact" w:val="636"/>
          <w:jc w:val="center"/>
        </w:trPr>
        <w:tc>
          <w:tcPr>
            <w:tcW w:w="10386" w:type="dxa"/>
            <w:gridSpan w:val="4"/>
            <w:tcBorders>
              <w:left w:val="nil"/>
              <w:bottom w:val="single" w:sz="6" w:space="0" w:color="auto"/>
            </w:tcBorders>
          </w:tcPr>
          <w:p w14:paraId="5EE6D61A" w14:textId="77777777" w:rsidR="00A430E4" w:rsidRDefault="00A430E4" w:rsidP="00DD4C78">
            <w:pPr>
              <w:pStyle w:val="FormFieldCaption"/>
              <w:jc w:val="both"/>
              <w:rPr>
                <w:sz w:val="22"/>
                <w:szCs w:val="22"/>
              </w:rPr>
            </w:pPr>
          </w:p>
          <w:p w14:paraId="7BC42EC1" w14:textId="471BDD31" w:rsidR="00E06C66" w:rsidRPr="00B85597" w:rsidRDefault="00E06C66" w:rsidP="00DD4C78">
            <w:pPr>
              <w:pStyle w:val="FormFieldCaption"/>
              <w:spacing w:after="60"/>
              <w:jc w:val="both"/>
              <w:rPr>
                <w:sz w:val="22"/>
                <w:szCs w:val="22"/>
              </w:rPr>
            </w:pPr>
            <w:r w:rsidRPr="00B85597">
              <w:rPr>
                <w:sz w:val="22"/>
                <w:szCs w:val="22"/>
              </w:rPr>
              <w:t>NAME</w:t>
            </w:r>
            <w:r>
              <w:rPr>
                <w:sz w:val="22"/>
                <w:szCs w:val="22"/>
              </w:rPr>
              <w:t xml:space="preserve">: </w:t>
            </w:r>
            <w:r w:rsidR="00600A13">
              <w:rPr>
                <w:sz w:val="22"/>
                <w:szCs w:val="22"/>
              </w:rPr>
              <w:t>Deaglio Silvia</w:t>
            </w:r>
          </w:p>
        </w:tc>
      </w:tr>
      <w:tr w:rsidR="00E06C66" w:rsidRPr="00B85597" w14:paraId="70C69D70" w14:textId="77777777" w:rsidTr="00E06C66">
        <w:trPr>
          <w:trHeight w:hRule="exact" w:val="546"/>
          <w:jc w:val="center"/>
        </w:trPr>
        <w:tc>
          <w:tcPr>
            <w:tcW w:w="10386" w:type="dxa"/>
            <w:gridSpan w:val="4"/>
            <w:tcBorders>
              <w:left w:val="nil"/>
              <w:bottom w:val="single" w:sz="6" w:space="0" w:color="auto"/>
            </w:tcBorders>
            <w:vAlign w:val="center"/>
          </w:tcPr>
          <w:p w14:paraId="20A18DB8" w14:textId="4904945F" w:rsidR="00E06C66" w:rsidRDefault="00E06C66" w:rsidP="00DD4C78">
            <w:pPr>
              <w:pStyle w:val="FormFieldCaption"/>
              <w:jc w:val="both"/>
              <w:rPr>
                <w:sz w:val="22"/>
                <w:szCs w:val="22"/>
              </w:rPr>
            </w:pPr>
            <w:r>
              <w:rPr>
                <w:sz w:val="22"/>
                <w:szCs w:val="22"/>
              </w:rPr>
              <w:t xml:space="preserve">POSITION TITLE: </w:t>
            </w:r>
            <w:r w:rsidR="00600A13">
              <w:rPr>
                <w:sz w:val="22"/>
                <w:szCs w:val="22"/>
              </w:rPr>
              <w:t xml:space="preserve">Associate </w:t>
            </w:r>
            <w:r>
              <w:rPr>
                <w:sz w:val="22"/>
                <w:szCs w:val="22"/>
              </w:rPr>
              <w:t xml:space="preserve">Professor of </w:t>
            </w:r>
            <w:r w:rsidR="00600A13">
              <w:rPr>
                <w:sz w:val="22"/>
                <w:szCs w:val="22"/>
              </w:rPr>
              <w:t>Medical Genetics</w:t>
            </w:r>
          </w:p>
        </w:tc>
      </w:tr>
      <w:tr w:rsidR="00E06C66" w:rsidRPr="00B85597" w14:paraId="773060D1" w14:textId="77777777" w:rsidTr="00E06C66">
        <w:trPr>
          <w:trHeight w:hRule="exact" w:val="546"/>
          <w:jc w:val="center"/>
        </w:trPr>
        <w:tc>
          <w:tcPr>
            <w:tcW w:w="10386" w:type="dxa"/>
            <w:gridSpan w:val="4"/>
            <w:tcBorders>
              <w:left w:val="nil"/>
              <w:bottom w:val="single" w:sz="6" w:space="0" w:color="auto"/>
            </w:tcBorders>
            <w:vAlign w:val="center"/>
          </w:tcPr>
          <w:p w14:paraId="76339BC6" w14:textId="644A93B1" w:rsidR="00E06C66" w:rsidRPr="00E06C66" w:rsidRDefault="00E06C66" w:rsidP="00DD4C78">
            <w:pPr>
              <w:pStyle w:val="FormFieldCaption"/>
              <w:jc w:val="both"/>
              <w:rPr>
                <w:sz w:val="22"/>
                <w:szCs w:val="22"/>
              </w:rPr>
            </w:pPr>
            <w:proofErr w:type="spellStart"/>
            <w:proofErr w:type="gramStart"/>
            <w:r w:rsidRPr="00E06C66">
              <w:rPr>
                <w:sz w:val="22"/>
                <w:szCs w:val="22"/>
              </w:rPr>
              <w:t>eRA</w:t>
            </w:r>
            <w:proofErr w:type="spellEnd"/>
            <w:proofErr w:type="gramEnd"/>
            <w:r w:rsidRPr="00E06C66">
              <w:rPr>
                <w:sz w:val="22"/>
                <w:szCs w:val="22"/>
              </w:rPr>
              <w:t xml:space="preserve"> COMMONS USER NAME (credential, e.g., agency login)</w:t>
            </w:r>
            <w:r>
              <w:rPr>
                <w:sz w:val="22"/>
                <w:szCs w:val="22"/>
              </w:rPr>
              <w:t xml:space="preserve"> </w:t>
            </w:r>
          </w:p>
          <w:p w14:paraId="6FAA66A3" w14:textId="77777777" w:rsidR="00E06C66" w:rsidRDefault="00E06C66" w:rsidP="00DD4C78">
            <w:pPr>
              <w:pStyle w:val="FormFieldCaption"/>
              <w:jc w:val="both"/>
              <w:rPr>
                <w:sz w:val="22"/>
                <w:szCs w:val="22"/>
              </w:rPr>
            </w:pPr>
          </w:p>
        </w:tc>
      </w:tr>
      <w:tr w:rsidR="00E06C66" w:rsidRPr="00B85597" w14:paraId="0FD88223" w14:textId="77777777" w:rsidTr="00E06C66">
        <w:trPr>
          <w:trHeight w:hRule="exact" w:val="546"/>
          <w:jc w:val="center"/>
        </w:trPr>
        <w:tc>
          <w:tcPr>
            <w:tcW w:w="10386" w:type="dxa"/>
            <w:gridSpan w:val="4"/>
            <w:tcBorders>
              <w:left w:val="nil"/>
              <w:bottom w:val="single" w:sz="6" w:space="0" w:color="auto"/>
            </w:tcBorders>
            <w:vAlign w:val="center"/>
          </w:tcPr>
          <w:p w14:paraId="77E463E0" w14:textId="2C113B83" w:rsidR="00E06C66" w:rsidRDefault="00E06C66" w:rsidP="00DD4C78">
            <w:pPr>
              <w:pStyle w:val="FormFieldCaption"/>
              <w:jc w:val="both"/>
              <w:rPr>
                <w:sz w:val="22"/>
                <w:szCs w:val="22"/>
              </w:rPr>
            </w:pPr>
            <w:r w:rsidRPr="00B85597">
              <w:rPr>
                <w:sz w:val="22"/>
                <w:szCs w:val="22"/>
              </w:rPr>
              <w:t xml:space="preserve">EDUCATION/TRAINING  </w:t>
            </w:r>
            <w:r w:rsidRPr="001360A5">
              <w:rPr>
                <w:i/>
                <w:iCs/>
              </w:rPr>
              <w:t>(Begin with baccalaureate or other initial professional education, such as nursing, include postdoctoral training and residency training if applicable.</w:t>
            </w:r>
            <w:r>
              <w:rPr>
                <w:i/>
                <w:iCs/>
              </w:rPr>
              <w:t xml:space="preserve"> Add/delete rows as necessary</w:t>
            </w:r>
            <w:r w:rsidRPr="001360A5">
              <w:rPr>
                <w:i/>
                <w:iCs/>
              </w:rPr>
              <w:t>)</w:t>
            </w:r>
          </w:p>
        </w:tc>
      </w:tr>
      <w:tr w:rsidR="00E06C66" w:rsidRPr="00B85597" w14:paraId="349D3638" w14:textId="77777777" w:rsidTr="00600A13">
        <w:trPr>
          <w:jc w:val="center"/>
        </w:trPr>
        <w:tc>
          <w:tcPr>
            <w:tcW w:w="4248" w:type="dxa"/>
            <w:tcBorders>
              <w:top w:val="single" w:sz="6" w:space="0" w:color="auto"/>
              <w:left w:val="nil"/>
              <w:bottom w:val="single" w:sz="4" w:space="0" w:color="auto"/>
              <w:right w:val="single" w:sz="6" w:space="0" w:color="auto"/>
            </w:tcBorders>
            <w:vAlign w:val="center"/>
          </w:tcPr>
          <w:p w14:paraId="655C9088" w14:textId="77777777" w:rsidR="00E06C66" w:rsidRPr="00B85597" w:rsidRDefault="00E06C66" w:rsidP="00DD4C78">
            <w:pPr>
              <w:pStyle w:val="FormFieldCaption"/>
              <w:jc w:val="both"/>
            </w:pPr>
            <w:r w:rsidRPr="00B85597">
              <w:t>INSTITUTION AND LOCATION</w:t>
            </w:r>
          </w:p>
        </w:tc>
        <w:tc>
          <w:tcPr>
            <w:tcW w:w="2051" w:type="dxa"/>
            <w:tcBorders>
              <w:top w:val="single" w:sz="6" w:space="0" w:color="auto"/>
              <w:left w:val="nil"/>
              <w:bottom w:val="single" w:sz="4" w:space="0" w:color="auto"/>
              <w:right w:val="single" w:sz="6" w:space="0" w:color="auto"/>
            </w:tcBorders>
            <w:vAlign w:val="center"/>
          </w:tcPr>
          <w:p w14:paraId="2B2196A3" w14:textId="77777777" w:rsidR="00E06C66" w:rsidRPr="00B85597" w:rsidRDefault="00E06C66" w:rsidP="00DD4C78">
            <w:pPr>
              <w:pStyle w:val="FormFieldCaption"/>
              <w:jc w:val="both"/>
            </w:pPr>
            <w:r w:rsidRPr="00B85597">
              <w:t>DEGREE</w:t>
            </w:r>
          </w:p>
          <w:p w14:paraId="429CADE7" w14:textId="77777777" w:rsidR="00E06C66" w:rsidRPr="00B85597" w:rsidRDefault="00E06C66" w:rsidP="00DD4C78">
            <w:pPr>
              <w:pStyle w:val="FormFieldCaption"/>
              <w:jc w:val="both"/>
              <w:rPr>
                <w:i/>
                <w:iCs/>
              </w:rPr>
            </w:pPr>
            <w:r w:rsidRPr="00B85597">
              <w:rPr>
                <w:i/>
                <w:iCs/>
              </w:rPr>
              <w:t>(</w:t>
            </w:r>
            <w:proofErr w:type="gramStart"/>
            <w:r w:rsidRPr="00B85597">
              <w:rPr>
                <w:i/>
                <w:iCs/>
              </w:rPr>
              <w:t>if</w:t>
            </w:r>
            <w:proofErr w:type="gramEnd"/>
            <w:r w:rsidRPr="00B85597">
              <w:rPr>
                <w:i/>
                <w:iCs/>
              </w:rPr>
              <w:t xml:space="preserve"> applicable)</w:t>
            </w:r>
          </w:p>
        </w:tc>
        <w:tc>
          <w:tcPr>
            <w:tcW w:w="1422" w:type="dxa"/>
            <w:tcBorders>
              <w:top w:val="single" w:sz="6" w:space="0" w:color="auto"/>
              <w:left w:val="nil"/>
              <w:bottom w:val="single" w:sz="4" w:space="0" w:color="auto"/>
              <w:right w:val="single" w:sz="6" w:space="0" w:color="auto"/>
            </w:tcBorders>
            <w:vAlign w:val="center"/>
          </w:tcPr>
          <w:p w14:paraId="0FC843B9" w14:textId="77777777" w:rsidR="00E06C66" w:rsidRPr="00B85597" w:rsidRDefault="00E06C66" w:rsidP="00DD4C78">
            <w:pPr>
              <w:pStyle w:val="FormFieldCaption"/>
              <w:jc w:val="both"/>
            </w:pPr>
            <w:r w:rsidRPr="00B85597">
              <w:t>MM/YY</w:t>
            </w:r>
          </w:p>
        </w:tc>
        <w:tc>
          <w:tcPr>
            <w:tcW w:w="2665" w:type="dxa"/>
            <w:tcBorders>
              <w:top w:val="single" w:sz="6" w:space="0" w:color="auto"/>
              <w:left w:val="single" w:sz="6" w:space="0" w:color="auto"/>
              <w:bottom w:val="single" w:sz="4" w:space="0" w:color="auto"/>
            </w:tcBorders>
            <w:vAlign w:val="center"/>
          </w:tcPr>
          <w:p w14:paraId="10DACAA8" w14:textId="77777777" w:rsidR="00E06C66" w:rsidRPr="00B85597" w:rsidRDefault="00E06C66" w:rsidP="00DD4C78">
            <w:pPr>
              <w:pStyle w:val="FormFieldCaption"/>
              <w:jc w:val="both"/>
            </w:pPr>
            <w:r w:rsidRPr="00B85597">
              <w:t>FIELD OF STUDY</w:t>
            </w:r>
          </w:p>
        </w:tc>
      </w:tr>
      <w:tr w:rsidR="00E06C66" w:rsidRPr="00B85597" w14:paraId="64A322B3" w14:textId="77777777" w:rsidTr="00600A13">
        <w:trPr>
          <w:trHeight w:val="287"/>
          <w:jc w:val="center"/>
        </w:trPr>
        <w:tc>
          <w:tcPr>
            <w:tcW w:w="4248" w:type="dxa"/>
            <w:tcBorders>
              <w:top w:val="single" w:sz="4" w:space="0" w:color="auto"/>
              <w:left w:val="nil"/>
              <w:bottom w:val="nil"/>
              <w:right w:val="single" w:sz="4" w:space="0" w:color="auto"/>
            </w:tcBorders>
            <w:vAlign w:val="center"/>
          </w:tcPr>
          <w:p w14:paraId="0E35DC1C" w14:textId="3B16F8F7" w:rsidR="00E06C66" w:rsidRPr="00B85597" w:rsidRDefault="00E06C66" w:rsidP="00DD4C78">
            <w:pPr>
              <w:pStyle w:val="DataField11pt-Single"/>
              <w:jc w:val="both"/>
              <w:rPr>
                <w:szCs w:val="22"/>
              </w:rPr>
            </w:pPr>
            <w:r w:rsidRPr="00B85597">
              <w:rPr>
                <w:szCs w:val="22"/>
              </w:rPr>
              <w:t>University of Torino</w:t>
            </w:r>
            <w:r w:rsidR="00600A13">
              <w:rPr>
                <w:szCs w:val="22"/>
              </w:rPr>
              <w:t>, Italy</w:t>
            </w:r>
          </w:p>
        </w:tc>
        <w:tc>
          <w:tcPr>
            <w:tcW w:w="2051" w:type="dxa"/>
            <w:tcBorders>
              <w:top w:val="single" w:sz="4" w:space="0" w:color="auto"/>
              <w:left w:val="single" w:sz="4" w:space="0" w:color="auto"/>
              <w:bottom w:val="nil"/>
              <w:right w:val="single" w:sz="4" w:space="0" w:color="auto"/>
            </w:tcBorders>
            <w:vAlign w:val="center"/>
          </w:tcPr>
          <w:p w14:paraId="4349E8E0" w14:textId="77777777" w:rsidR="00E06C66" w:rsidRPr="00B85597" w:rsidRDefault="00E06C66" w:rsidP="00DD4C78">
            <w:pPr>
              <w:pStyle w:val="DataField11pt-Single"/>
              <w:jc w:val="both"/>
              <w:rPr>
                <w:szCs w:val="22"/>
              </w:rPr>
            </w:pPr>
            <w:r w:rsidRPr="00B85597">
              <w:rPr>
                <w:szCs w:val="22"/>
              </w:rPr>
              <w:t>M.D.</w:t>
            </w:r>
          </w:p>
        </w:tc>
        <w:tc>
          <w:tcPr>
            <w:tcW w:w="1422" w:type="dxa"/>
            <w:tcBorders>
              <w:top w:val="single" w:sz="4" w:space="0" w:color="auto"/>
              <w:left w:val="single" w:sz="4" w:space="0" w:color="auto"/>
              <w:bottom w:val="nil"/>
              <w:right w:val="single" w:sz="4" w:space="0" w:color="auto"/>
            </w:tcBorders>
            <w:vAlign w:val="center"/>
          </w:tcPr>
          <w:p w14:paraId="0577B6E4" w14:textId="349C6B1D" w:rsidR="00E06C66" w:rsidRPr="00B85597" w:rsidRDefault="00600A13" w:rsidP="00DD4C78">
            <w:pPr>
              <w:pStyle w:val="DataField11pt-Single"/>
              <w:jc w:val="both"/>
              <w:rPr>
                <w:szCs w:val="22"/>
              </w:rPr>
            </w:pPr>
            <w:r>
              <w:rPr>
                <w:szCs w:val="22"/>
              </w:rPr>
              <w:t>1992-</w:t>
            </w:r>
            <w:r w:rsidR="00E06C66" w:rsidRPr="00B85597">
              <w:rPr>
                <w:szCs w:val="22"/>
              </w:rPr>
              <w:t>19</w:t>
            </w:r>
            <w:r>
              <w:rPr>
                <w:szCs w:val="22"/>
              </w:rPr>
              <w:t>98</w:t>
            </w:r>
          </w:p>
        </w:tc>
        <w:tc>
          <w:tcPr>
            <w:tcW w:w="2665" w:type="dxa"/>
            <w:tcBorders>
              <w:top w:val="single" w:sz="4" w:space="0" w:color="auto"/>
              <w:left w:val="single" w:sz="4" w:space="0" w:color="auto"/>
              <w:bottom w:val="nil"/>
              <w:right w:val="nil"/>
            </w:tcBorders>
            <w:vAlign w:val="center"/>
          </w:tcPr>
          <w:p w14:paraId="5CAFF050" w14:textId="77777777" w:rsidR="00E06C66" w:rsidRPr="00B85597" w:rsidRDefault="00E06C66" w:rsidP="00DD4C78">
            <w:pPr>
              <w:pStyle w:val="DataField11pt-Single"/>
              <w:jc w:val="both"/>
              <w:rPr>
                <w:szCs w:val="22"/>
              </w:rPr>
            </w:pPr>
            <w:r w:rsidRPr="00B85597">
              <w:rPr>
                <w:szCs w:val="22"/>
              </w:rPr>
              <w:t>Medicine</w:t>
            </w:r>
          </w:p>
        </w:tc>
      </w:tr>
      <w:tr w:rsidR="00600A13" w:rsidRPr="00B85597" w14:paraId="4F86481F" w14:textId="77777777" w:rsidTr="00600A13">
        <w:trPr>
          <w:trHeight w:val="395"/>
          <w:jc w:val="center"/>
        </w:trPr>
        <w:tc>
          <w:tcPr>
            <w:tcW w:w="4248" w:type="dxa"/>
            <w:tcBorders>
              <w:top w:val="single" w:sz="4" w:space="0" w:color="auto"/>
              <w:left w:val="nil"/>
              <w:bottom w:val="nil"/>
              <w:right w:val="single" w:sz="4" w:space="0" w:color="auto"/>
            </w:tcBorders>
            <w:vAlign w:val="center"/>
          </w:tcPr>
          <w:p w14:paraId="1F5FF5C9" w14:textId="2C83B8F3" w:rsidR="00600A13" w:rsidRPr="00B85597" w:rsidRDefault="00600A13" w:rsidP="00DD4C78">
            <w:pPr>
              <w:pStyle w:val="DataField11pt-Single"/>
              <w:jc w:val="both"/>
              <w:rPr>
                <w:szCs w:val="22"/>
              </w:rPr>
            </w:pPr>
            <w:r w:rsidRPr="00B85597">
              <w:rPr>
                <w:szCs w:val="22"/>
              </w:rPr>
              <w:t>University of Torino</w:t>
            </w:r>
            <w:r>
              <w:rPr>
                <w:szCs w:val="22"/>
              </w:rPr>
              <w:t>, Italy</w:t>
            </w:r>
          </w:p>
        </w:tc>
        <w:tc>
          <w:tcPr>
            <w:tcW w:w="2051" w:type="dxa"/>
            <w:tcBorders>
              <w:top w:val="single" w:sz="4" w:space="0" w:color="auto"/>
              <w:left w:val="single" w:sz="4" w:space="0" w:color="auto"/>
              <w:bottom w:val="nil"/>
              <w:right w:val="single" w:sz="4" w:space="0" w:color="auto"/>
            </w:tcBorders>
            <w:vAlign w:val="center"/>
          </w:tcPr>
          <w:p w14:paraId="3F64D49F" w14:textId="03A0384C" w:rsidR="00600A13" w:rsidRPr="00B85597" w:rsidRDefault="00600A13" w:rsidP="00DD4C78">
            <w:pPr>
              <w:pStyle w:val="DataField11pt-Single"/>
              <w:jc w:val="both"/>
              <w:rPr>
                <w:szCs w:val="22"/>
              </w:rPr>
            </w:pPr>
            <w:r>
              <w:rPr>
                <w:szCs w:val="22"/>
              </w:rPr>
              <w:t>Board Certification</w:t>
            </w:r>
          </w:p>
        </w:tc>
        <w:tc>
          <w:tcPr>
            <w:tcW w:w="1422" w:type="dxa"/>
            <w:tcBorders>
              <w:top w:val="single" w:sz="4" w:space="0" w:color="auto"/>
              <w:left w:val="single" w:sz="4" w:space="0" w:color="auto"/>
              <w:bottom w:val="nil"/>
              <w:right w:val="single" w:sz="4" w:space="0" w:color="auto"/>
            </w:tcBorders>
            <w:vAlign w:val="center"/>
          </w:tcPr>
          <w:p w14:paraId="1A3D9EDF" w14:textId="6FC61784" w:rsidR="00600A13" w:rsidRPr="00B85597" w:rsidRDefault="00600A13" w:rsidP="00DD4C78">
            <w:pPr>
              <w:pStyle w:val="DataField11pt-Single"/>
              <w:jc w:val="both"/>
              <w:rPr>
                <w:szCs w:val="22"/>
              </w:rPr>
            </w:pPr>
            <w:r>
              <w:rPr>
                <w:szCs w:val="22"/>
              </w:rPr>
              <w:t>1998-2002</w:t>
            </w:r>
          </w:p>
        </w:tc>
        <w:tc>
          <w:tcPr>
            <w:tcW w:w="2665" w:type="dxa"/>
            <w:tcBorders>
              <w:top w:val="single" w:sz="4" w:space="0" w:color="auto"/>
              <w:left w:val="single" w:sz="4" w:space="0" w:color="auto"/>
              <w:bottom w:val="nil"/>
              <w:right w:val="nil"/>
            </w:tcBorders>
            <w:vAlign w:val="center"/>
          </w:tcPr>
          <w:p w14:paraId="490492F3" w14:textId="2330431B" w:rsidR="00600A13" w:rsidRPr="00B85597" w:rsidRDefault="00600A13" w:rsidP="00DD4C78">
            <w:pPr>
              <w:pStyle w:val="DataField11pt-Single"/>
              <w:jc w:val="both"/>
              <w:rPr>
                <w:szCs w:val="22"/>
              </w:rPr>
            </w:pPr>
            <w:r>
              <w:rPr>
                <w:szCs w:val="22"/>
              </w:rPr>
              <w:t>Oncology</w:t>
            </w:r>
          </w:p>
        </w:tc>
      </w:tr>
      <w:tr w:rsidR="00600A13" w:rsidRPr="00B85597" w14:paraId="27432373" w14:textId="77777777" w:rsidTr="00600A13">
        <w:trPr>
          <w:jc w:val="center"/>
        </w:trPr>
        <w:tc>
          <w:tcPr>
            <w:tcW w:w="4248" w:type="dxa"/>
            <w:tcBorders>
              <w:top w:val="single" w:sz="4" w:space="0" w:color="auto"/>
              <w:left w:val="nil"/>
              <w:bottom w:val="nil"/>
              <w:right w:val="single" w:sz="4" w:space="0" w:color="auto"/>
            </w:tcBorders>
            <w:vAlign w:val="center"/>
          </w:tcPr>
          <w:p w14:paraId="22C5D028" w14:textId="545B1B11" w:rsidR="00600A13" w:rsidRPr="00B85597" w:rsidRDefault="00600A13" w:rsidP="00DD4C78">
            <w:pPr>
              <w:pStyle w:val="DataField11pt-Single"/>
              <w:jc w:val="both"/>
              <w:rPr>
                <w:szCs w:val="22"/>
              </w:rPr>
            </w:pPr>
            <w:r w:rsidRPr="00B85597">
              <w:rPr>
                <w:szCs w:val="22"/>
              </w:rPr>
              <w:t>University of Torino</w:t>
            </w:r>
            <w:r>
              <w:rPr>
                <w:szCs w:val="22"/>
              </w:rPr>
              <w:t>, Italy</w:t>
            </w:r>
          </w:p>
        </w:tc>
        <w:tc>
          <w:tcPr>
            <w:tcW w:w="2051" w:type="dxa"/>
            <w:tcBorders>
              <w:top w:val="single" w:sz="4" w:space="0" w:color="auto"/>
              <w:left w:val="single" w:sz="4" w:space="0" w:color="auto"/>
              <w:bottom w:val="nil"/>
              <w:right w:val="single" w:sz="4" w:space="0" w:color="auto"/>
            </w:tcBorders>
            <w:vAlign w:val="center"/>
          </w:tcPr>
          <w:p w14:paraId="19CF4D06" w14:textId="462A3E61" w:rsidR="00600A13" w:rsidRPr="00B85597" w:rsidRDefault="00600A13" w:rsidP="00DD4C78">
            <w:pPr>
              <w:pStyle w:val="DataField11pt-Single"/>
              <w:jc w:val="both"/>
              <w:rPr>
                <w:szCs w:val="22"/>
              </w:rPr>
            </w:pPr>
            <w:r>
              <w:rPr>
                <w:szCs w:val="22"/>
              </w:rPr>
              <w:t>Ph.D.</w:t>
            </w:r>
          </w:p>
        </w:tc>
        <w:tc>
          <w:tcPr>
            <w:tcW w:w="1422" w:type="dxa"/>
            <w:tcBorders>
              <w:top w:val="single" w:sz="4" w:space="0" w:color="auto"/>
              <w:left w:val="single" w:sz="4" w:space="0" w:color="auto"/>
              <w:bottom w:val="nil"/>
              <w:right w:val="single" w:sz="4" w:space="0" w:color="auto"/>
            </w:tcBorders>
            <w:vAlign w:val="center"/>
          </w:tcPr>
          <w:p w14:paraId="40CAA563" w14:textId="1D8116F2" w:rsidR="00600A13" w:rsidRPr="00B85597" w:rsidRDefault="00600A13" w:rsidP="00DD4C78">
            <w:pPr>
              <w:pStyle w:val="DataField11pt-Single"/>
              <w:jc w:val="both"/>
              <w:rPr>
                <w:szCs w:val="22"/>
              </w:rPr>
            </w:pPr>
            <w:r>
              <w:rPr>
                <w:szCs w:val="22"/>
              </w:rPr>
              <w:t>2002-2006</w:t>
            </w:r>
          </w:p>
        </w:tc>
        <w:tc>
          <w:tcPr>
            <w:tcW w:w="2665" w:type="dxa"/>
            <w:tcBorders>
              <w:top w:val="single" w:sz="4" w:space="0" w:color="auto"/>
              <w:left w:val="single" w:sz="4" w:space="0" w:color="auto"/>
              <w:bottom w:val="nil"/>
              <w:right w:val="nil"/>
            </w:tcBorders>
            <w:vAlign w:val="center"/>
          </w:tcPr>
          <w:p w14:paraId="3937A85F" w14:textId="7C59FC48" w:rsidR="00600A13" w:rsidRPr="00B85597" w:rsidRDefault="00600A13" w:rsidP="00DD4C78">
            <w:pPr>
              <w:pStyle w:val="DataField11pt-Single"/>
              <w:jc w:val="both"/>
              <w:rPr>
                <w:szCs w:val="22"/>
              </w:rPr>
            </w:pPr>
            <w:r>
              <w:rPr>
                <w:szCs w:val="22"/>
              </w:rPr>
              <w:t>Genetics</w:t>
            </w:r>
          </w:p>
        </w:tc>
      </w:tr>
      <w:tr w:rsidR="00600A13" w:rsidRPr="00B85597" w14:paraId="058FF34E" w14:textId="77777777" w:rsidTr="00600A13">
        <w:trPr>
          <w:jc w:val="center"/>
        </w:trPr>
        <w:tc>
          <w:tcPr>
            <w:tcW w:w="4248" w:type="dxa"/>
            <w:tcBorders>
              <w:top w:val="nil"/>
              <w:left w:val="nil"/>
              <w:bottom w:val="single" w:sz="4" w:space="0" w:color="auto"/>
              <w:right w:val="single" w:sz="4" w:space="0" w:color="auto"/>
            </w:tcBorders>
            <w:vAlign w:val="center"/>
          </w:tcPr>
          <w:p w14:paraId="61770D9C" w14:textId="77777777" w:rsidR="00600A13" w:rsidRPr="00B85597" w:rsidRDefault="00600A13" w:rsidP="00DD4C78">
            <w:pPr>
              <w:pStyle w:val="DataField11pt-Single"/>
              <w:jc w:val="both"/>
              <w:rPr>
                <w:szCs w:val="22"/>
              </w:rPr>
            </w:pPr>
          </w:p>
        </w:tc>
        <w:tc>
          <w:tcPr>
            <w:tcW w:w="2051" w:type="dxa"/>
            <w:tcBorders>
              <w:top w:val="nil"/>
              <w:left w:val="single" w:sz="4" w:space="0" w:color="auto"/>
              <w:bottom w:val="single" w:sz="4" w:space="0" w:color="auto"/>
              <w:right w:val="single" w:sz="4" w:space="0" w:color="auto"/>
            </w:tcBorders>
            <w:vAlign w:val="center"/>
          </w:tcPr>
          <w:p w14:paraId="2F51F8AF" w14:textId="77777777" w:rsidR="00600A13" w:rsidRPr="00B85597" w:rsidRDefault="00600A13" w:rsidP="00DD4C78">
            <w:pPr>
              <w:pStyle w:val="DataField11pt-Single"/>
              <w:jc w:val="both"/>
              <w:rPr>
                <w:szCs w:val="22"/>
              </w:rPr>
            </w:pPr>
          </w:p>
        </w:tc>
        <w:tc>
          <w:tcPr>
            <w:tcW w:w="1422" w:type="dxa"/>
            <w:tcBorders>
              <w:top w:val="nil"/>
              <w:left w:val="single" w:sz="4" w:space="0" w:color="auto"/>
              <w:bottom w:val="single" w:sz="4" w:space="0" w:color="auto"/>
              <w:right w:val="single" w:sz="4" w:space="0" w:color="auto"/>
            </w:tcBorders>
            <w:vAlign w:val="center"/>
          </w:tcPr>
          <w:p w14:paraId="76BE1156" w14:textId="77777777" w:rsidR="00600A13" w:rsidRPr="00B85597" w:rsidRDefault="00600A13" w:rsidP="00DD4C78">
            <w:pPr>
              <w:pStyle w:val="DataField11pt-Single"/>
              <w:jc w:val="both"/>
              <w:rPr>
                <w:szCs w:val="22"/>
              </w:rPr>
            </w:pPr>
          </w:p>
        </w:tc>
        <w:tc>
          <w:tcPr>
            <w:tcW w:w="2665" w:type="dxa"/>
            <w:tcBorders>
              <w:top w:val="nil"/>
              <w:left w:val="single" w:sz="4" w:space="0" w:color="auto"/>
              <w:bottom w:val="single" w:sz="4" w:space="0" w:color="auto"/>
              <w:right w:val="nil"/>
            </w:tcBorders>
            <w:vAlign w:val="center"/>
          </w:tcPr>
          <w:p w14:paraId="74AC002F" w14:textId="77777777" w:rsidR="00600A13" w:rsidRPr="00B85597" w:rsidRDefault="00600A13" w:rsidP="00DD4C78">
            <w:pPr>
              <w:pStyle w:val="DataField11pt-Single"/>
              <w:jc w:val="both"/>
              <w:rPr>
                <w:szCs w:val="22"/>
              </w:rPr>
            </w:pPr>
          </w:p>
        </w:tc>
      </w:tr>
    </w:tbl>
    <w:p w14:paraId="7E759DEC" w14:textId="77777777" w:rsidR="0054471F" w:rsidRPr="00B85597" w:rsidRDefault="0054471F" w:rsidP="00DD4C78">
      <w:pPr>
        <w:pStyle w:val="DataField11pt-Single"/>
        <w:jc w:val="both"/>
        <w:rPr>
          <w:szCs w:val="22"/>
        </w:rPr>
        <w:sectPr w:rsidR="0054471F" w:rsidRPr="00B85597" w:rsidSect="00EA1D22">
          <w:headerReference w:type="default" r:id="rId9"/>
          <w:footerReference w:type="default" r:id="rId10"/>
          <w:headerReference w:type="first" r:id="rId11"/>
          <w:footerReference w:type="first" r:id="rId12"/>
          <w:type w:val="continuous"/>
          <w:pgSz w:w="12240" w:h="15840" w:code="1"/>
          <w:pgMar w:top="720" w:right="810" w:bottom="720" w:left="720" w:header="720" w:footer="720" w:gutter="0"/>
          <w:cols w:space="720"/>
          <w:docGrid w:linePitch="326"/>
        </w:sectPr>
      </w:pPr>
    </w:p>
    <w:p w14:paraId="6D3D402C" w14:textId="77777777" w:rsidR="008B6BB7" w:rsidRDefault="008B6BB7" w:rsidP="00DD4C78">
      <w:pPr>
        <w:pStyle w:val="Nessunaspaziatura"/>
        <w:jc w:val="both"/>
        <w:rPr>
          <w:b/>
          <w:szCs w:val="22"/>
        </w:rPr>
      </w:pPr>
    </w:p>
    <w:p w14:paraId="6C63FD6A" w14:textId="41C4BCC8" w:rsidR="00B7125F" w:rsidRDefault="001360A5" w:rsidP="00DD4C78">
      <w:pPr>
        <w:pStyle w:val="Nessunaspaziatura"/>
        <w:jc w:val="both"/>
        <w:rPr>
          <w:b/>
          <w:szCs w:val="22"/>
        </w:rPr>
      </w:pPr>
      <w:r>
        <w:rPr>
          <w:b/>
          <w:szCs w:val="22"/>
        </w:rPr>
        <w:t>A.</w:t>
      </w:r>
      <w:r>
        <w:rPr>
          <w:b/>
          <w:szCs w:val="22"/>
        </w:rPr>
        <w:tab/>
        <w:t xml:space="preserve">Personal </w:t>
      </w:r>
      <w:r w:rsidR="00221FD6">
        <w:rPr>
          <w:b/>
          <w:szCs w:val="22"/>
        </w:rPr>
        <w:t>Statement</w:t>
      </w:r>
    </w:p>
    <w:p w14:paraId="5EF4A0E2" w14:textId="2915FC34" w:rsidR="00C92A86" w:rsidRDefault="00B7125F" w:rsidP="00DD4C78">
      <w:pPr>
        <w:pStyle w:val="Nessunaspaziatura"/>
        <w:jc w:val="both"/>
        <w:rPr>
          <w:szCs w:val="22"/>
        </w:rPr>
      </w:pPr>
      <w:r>
        <w:rPr>
          <w:szCs w:val="22"/>
        </w:rPr>
        <w:t>After obtaining</w:t>
      </w:r>
      <w:r w:rsidR="00DF47A3">
        <w:rPr>
          <w:szCs w:val="22"/>
        </w:rPr>
        <w:t xml:space="preserve"> an</w:t>
      </w:r>
      <w:r>
        <w:rPr>
          <w:szCs w:val="22"/>
        </w:rPr>
        <w:t xml:space="preserve"> MD degree and training as a medical oncologist, I started a PhD program in Genetics at the University of Turin. My research interests were focused on enzymes that can synthesize and metabolize nucleotides</w:t>
      </w:r>
      <w:r w:rsidR="00C92A86">
        <w:rPr>
          <w:szCs w:val="22"/>
        </w:rPr>
        <w:t>,</w:t>
      </w:r>
      <w:r>
        <w:rPr>
          <w:szCs w:val="22"/>
        </w:rPr>
        <w:t xml:space="preserve"> such as ATP and NAD</w:t>
      </w:r>
      <w:r w:rsidR="00C92A86">
        <w:rPr>
          <w:szCs w:val="22"/>
        </w:rPr>
        <w:t>,</w:t>
      </w:r>
      <w:r>
        <w:rPr>
          <w:szCs w:val="22"/>
        </w:rPr>
        <w:t xml:space="preserve"> in the extracellular environment. During the PhD, I </w:t>
      </w:r>
      <w:r w:rsidR="00C92A86">
        <w:rPr>
          <w:szCs w:val="22"/>
        </w:rPr>
        <w:t>trained</w:t>
      </w:r>
      <w:r>
        <w:rPr>
          <w:szCs w:val="22"/>
        </w:rPr>
        <w:t xml:space="preserve"> at the Beth Israel Deaconess Medical Center of Harvard University</w:t>
      </w:r>
      <w:r w:rsidR="00881BCA">
        <w:rPr>
          <w:szCs w:val="22"/>
        </w:rPr>
        <w:t xml:space="preserve"> with Drs. Simon Robson and Terry Strom</w:t>
      </w:r>
      <w:r>
        <w:rPr>
          <w:szCs w:val="22"/>
        </w:rPr>
        <w:t xml:space="preserve">, where </w:t>
      </w:r>
      <w:r w:rsidR="00C92A86">
        <w:rPr>
          <w:szCs w:val="22"/>
        </w:rPr>
        <w:t>we identified</w:t>
      </w:r>
      <w:r>
        <w:rPr>
          <w:szCs w:val="22"/>
        </w:rPr>
        <w:t xml:space="preserve"> an ATP-degrading pathway as an integral component of the suppressive machinery of regulatory T cells. </w:t>
      </w:r>
      <w:r w:rsidR="00C92A86">
        <w:rPr>
          <w:szCs w:val="22"/>
        </w:rPr>
        <w:t>After going</w:t>
      </w:r>
      <w:r>
        <w:rPr>
          <w:szCs w:val="22"/>
        </w:rPr>
        <w:t xml:space="preserve"> back to Italy at the end of 2005</w:t>
      </w:r>
      <w:r w:rsidR="00C92A86">
        <w:rPr>
          <w:szCs w:val="22"/>
        </w:rPr>
        <w:t>,</w:t>
      </w:r>
      <w:r>
        <w:rPr>
          <w:szCs w:val="22"/>
        </w:rPr>
        <w:t xml:space="preserve"> I obtained my first two grants as an independent investigator and </w:t>
      </w:r>
      <w:r w:rsidR="00DF47A3">
        <w:rPr>
          <w:szCs w:val="22"/>
        </w:rPr>
        <w:t>studied</w:t>
      </w:r>
      <w:r>
        <w:rPr>
          <w:szCs w:val="22"/>
        </w:rPr>
        <w:t xml:space="preserve"> nucleotide-nucleoside balance in the tumor microenvironment. In 2010 I started my own research group in the Laboratories of the Human Genetics Foundation in Turin, Italy. This group</w:t>
      </w:r>
      <w:r w:rsidR="00C70D32">
        <w:rPr>
          <w:szCs w:val="22"/>
        </w:rPr>
        <w:t xml:space="preserve"> now comprises 12 researchers</w:t>
      </w:r>
      <w:r>
        <w:rPr>
          <w:szCs w:val="22"/>
        </w:rPr>
        <w:t xml:space="preserve">. </w:t>
      </w:r>
      <w:r w:rsidR="00C92A86">
        <w:rPr>
          <w:szCs w:val="22"/>
        </w:rPr>
        <w:t xml:space="preserve">In the past few years we have focused on </w:t>
      </w:r>
      <w:r>
        <w:rPr>
          <w:szCs w:val="22"/>
        </w:rPr>
        <w:t>NAD metabolism as a critical step in the regulation of leukemic cell homing and in the skewing of bystander cells towards a pro-survival phenotype.</w:t>
      </w:r>
      <w:r w:rsidR="00C92A86">
        <w:rPr>
          <w:szCs w:val="22"/>
        </w:rPr>
        <w:t xml:space="preserve"> Furthermore, we participated in a joint effort to identify recurrently mutated genes in patients with chronic lymphocytic leukemia and splenic marginal zone lymphoma. Current studies are dedicated to the understanding of the role of these genes and their mutations in the biology of the disease. To do this, there is an urgent need of </w:t>
      </w:r>
      <w:proofErr w:type="spellStart"/>
      <w:r w:rsidR="00C92A86">
        <w:rPr>
          <w:szCs w:val="22"/>
        </w:rPr>
        <w:t>xenograft</w:t>
      </w:r>
      <w:proofErr w:type="spellEnd"/>
      <w:r w:rsidR="00C92A86">
        <w:rPr>
          <w:szCs w:val="22"/>
        </w:rPr>
        <w:t xml:space="preserve"> models that will allow expansion of </w:t>
      </w:r>
      <w:proofErr w:type="gramStart"/>
      <w:r w:rsidR="00C92A86">
        <w:rPr>
          <w:szCs w:val="22"/>
        </w:rPr>
        <w:t>genetically-typed</w:t>
      </w:r>
      <w:proofErr w:type="gramEnd"/>
      <w:r w:rsidR="00C92A86">
        <w:rPr>
          <w:szCs w:val="22"/>
        </w:rPr>
        <w:t xml:space="preserve"> primary cells. In order to implement these models in the lab, </w:t>
      </w:r>
      <w:r w:rsidR="00C70D32">
        <w:rPr>
          <w:szCs w:val="22"/>
        </w:rPr>
        <w:t>I spent two years as a visiting professor at</w:t>
      </w:r>
      <w:r w:rsidR="00C92A86">
        <w:rPr>
          <w:szCs w:val="22"/>
        </w:rPr>
        <w:t xml:space="preserve"> Weill Cornell Medical College</w:t>
      </w:r>
      <w:r w:rsidR="00C70D32">
        <w:rPr>
          <w:szCs w:val="22"/>
        </w:rPr>
        <w:t>.</w:t>
      </w:r>
    </w:p>
    <w:p w14:paraId="23D47840" w14:textId="77777777" w:rsidR="00C70D32" w:rsidRPr="00B7125F" w:rsidRDefault="00C70D32" w:rsidP="00DD4C78">
      <w:pPr>
        <w:pStyle w:val="Nessunaspaziatura"/>
        <w:jc w:val="both"/>
        <w:rPr>
          <w:szCs w:val="22"/>
        </w:rPr>
      </w:pPr>
    </w:p>
    <w:p w14:paraId="1710DB80" w14:textId="77777777" w:rsidR="008B6BB7" w:rsidRDefault="00E67A05" w:rsidP="008B6BB7">
      <w:pPr>
        <w:pStyle w:val="Nessunaspaziatura"/>
        <w:jc w:val="both"/>
        <w:rPr>
          <w:b/>
          <w:szCs w:val="22"/>
        </w:rPr>
      </w:pPr>
      <w:r w:rsidRPr="00B85597">
        <w:rPr>
          <w:b/>
          <w:szCs w:val="22"/>
        </w:rPr>
        <w:t>B.</w:t>
      </w:r>
      <w:r w:rsidRPr="00B85597">
        <w:rPr>
          <w:b/>
          <w:szCs w:val="22"/>
        </w:rPr>
        <w:tab/>
        <w:t>Positions and Honors</w:t>
      </w:r>
    </w:p>
    <w:p w14:paraId="672C449E" w14:textId="7CC17CE3" w:rsidR="001360A5" w:rsidRPr="008B6BB7" w:rsidRDefault="001360A5" w:rsidP="008B6BB7">
      <w:pPr>
        <w:pStyle w:val="Nessunaspaziatura"/>
        <w:jc w:val="both"/>
        <w:rPr>
          <w:b/>
          <w:szCs w:val="22"/>
        </w:rPr>
      </w:pPr>
      <w:r w:rsidRPr="00E06C66">
        <w:rPr>
          <w:b/>
          <w:u w:val="single"/>
        </w:rPr>
        <w:t>Positions and Employment:</w:t>
      </w:r>
    </w:p>
    <w:p w14:paraId="6BF6D00D" w14:textId="117FEFE1" w:rsidR="00600A13" w:rsidRPr="00825D65" w:rsidRDefault="00600A13" w:rsidP="00DD4C78">
      <w:pPr>
        <w:tabs>
          <w:tab w:val="left" w:pos="-567"/>
          <w:tab w:val="left" w:pos="0"/>
          <w:tab w:val="left" w:pos="565"/>
          <w:tab w:val="left" w:pos="1130"/>
          <w:tab w:val="left" w:pos="1440"/>
          <w:tab w:val="left" w:pos="2264"/>
          <w:tab w:val="left" w:pos="2829"/>
          <w:tab w:val="left" w:pos="3397"/>
          <w:tab w:val="left" w:pos="3962"/>
          <w:tab w:val="left" w:pos="4530"/>
          <w:tab w:val="left" w:pos="5096"/>
          <w:tab w:val="left" w:pos="5661"/>
          <w:tab w:val="left" w:pos="6229"/>
          <w:tab w:val="left" w:pos="6794"/>
          <w:tab w:val="left" w:pos="7362"/>
          <w:tab w:val="left" w:pos="7928"/>
          <w:tab w:val="left" w:pos="8493"/>
          <w:tab w:val="left" w:pos="9061"/>
          <w:tab w:val="left" w:pos="9636"/>
          <w:tab w:val="left" w:pos="10760"/>
          <w:tab w:val="left" w:pos="11325"/>
          <w:tab w:val="left" w:pos="11893"/>
          <w:tab w:val="left" w:pos="12458"/>
          <w:tab w:val="left" w:pos="13026"/>
          <w:tab w:val="left" w:pos="13592"/>
          <w:tab w:val="left" w:pos="14157"/>
          <w:tab w:val="left" w:pos="14725"/>
          <w:tab w:val="left" w:pos="15290"/>
          <w:tab w:val="left" w:pos="15858"/>
          <w:tab w:val="left" w:pos="16424"/>
          <w:tab w:val="left" w:pos="16989"/>
          <w:tab w:val="left" w:pos="17557"/>
          <w:tab w:val="left" w:pos="18122"/>
          <w:tab w:val="left" w:pos="18690"/>
          <w:tab w:val="left" w:pos="19256"/>
          <w:tab w:val="left" w:pos="19821"/>
          <w:tab w:val="left" w:pos="20389"/>
          <w:tab w:val="left" w:pos="20954"/>
        </w:tabs>
        <w:ind w:left="1440" w:hanging="1620"/>
        <w:jc w:val="both"/>
        <w:rPr>
          <w:szCs w:val="22"/>
        </w:rPr>
      </w:pPr>
      <w:r w:rsidRPr="006577AA">
        <w:rPr>
          <w:rFonts w:ascii="Calibri" w:hAnsi="Calibri"/>
          <w:lang w:val="en-GB"/>
        </w:rPr>
        <w:tab/>
      </w:r>
      <w:r w:rsidRPr="00825D65">
        <w:rPr>
          <w:szCs w:val="22"/>
        </w:rPr>
        <w:t xml:space="preserve">1993-1998:  </w:t>
      </w:r>
      <w:r w:rsidRPr="00825D65">
        <w:rPr>
          <w:szCs w:val="22"/>
        </w:rPr>
        <w:tab/>
        <w:t xml:space="preserve">Internal student, Laboratory of Cell Biology, Department of Genetics, Biology and Biochemistry, University of Torino. </w:t>
      </w:r>
    </w:p>
    <w:p w14:paraId="76DDA0AB" w14:textId="2F69C186" w:rsidR="00600A13" w:rsidRPr="00825D65" w:rsidRDefault="00600A13" w:rsidP="00DD4C78">
      <w:pPr>
        <w:tabs>
          <w:tab w:val="left" w:pos="-567"/>
          <w:tab w:val="left" w:pos="0"/>
          <w:tab w:val="left" w:pos="565"/>
          <w:tab w:val="left" w:pos="1130"/>
          <w:tab w:val="left" w:pos="1698"/>
          <w:tab w:val="left" w:pos="2264"/>
          <w:tab w:val="left" w:pos="2829"/>
          <w:tab w:val="left" w:pos="3397"/>
          <w:tab w:val="left" w:pos="3962"/>
          <w:tab w:val="left" w:pos="4530"/>
          <w:tab w:val="left" w:pos="5096"/>
          <w:tab w:val="left" w:pos="5661"/>
          <w:tab w:val="left" w:pos="6229"/>
          <w:tab w:val="left" w:pos="6794"/>
          <w:tab w:val="left" w:pos="7362"/>
          <w:tab w:val="left" w:pos="7928"/>
          <w:tab w:val="left" w:pos="8493"/>
          <w:tab w:val="left" w:pos="9061"/>
          <w:tab w:val="left" w:pos="9636"/>
          <w:tab w:val="left" w:pos="10760"/>
          <w:tab w:val="left" w:pos="11325"/>
          <w:tab w:val="left" w:pos="11893"/>
          <w:tab w:val="left" w:pos="12458"/>
          <w:tab w:val="left" w:pos="13026"/>
          <w:tab w:val="left" w:pos="13592"/>
          <w:tab w:val="left" w:pos="14157"/>
          <w:tab w:val="left" w:pos="14725"/>
          <w:tab w:val="left" w:pos="15290"/>
          <w:tab w:val="left" w:pos="15858"/>
          <w:tab w:val="left" w:pos="16424"/>
          <w:tab w:val="left" w:pos="16989"/>
          <w:tab w:val="left" w:pos="17557"/>
          <w:tab w:val="left" w:pos="18122"/>
          <w:tab w:val="left" w:pos="18690"/>
          <w:tab w:val="left" w:pos="19256"/>
          <w:tab w:val="left" w:pos="19821"/>
          <w:tab w:val="left" w:pos="20389"/>
          <w:tab w:val="left" w:pos="20954"/>
        </w:tabs>
        <w:ind w:left="1440" w:hanging="1440"/>
        <w:jc w:val="both"/>
        <w:rPr>
          <w:szCs w:val="22"/>
        </w:rPr>
      </w:pPr>
      <w:r w:rsidRPr="00825D65">
        <w:rPr>
          <w:szCs w:val="22"/>
        </w:rPr>
        <w:t>1995:</w:t>
      </w:r>
      <w:r w:rsidRPr="00825D65">
        <w:rPr>
          <w:szCs w:val="22"/>
        </w:rPr>
        <w:tab/>
      </w:r>
      <w:r w:rsidRPr="00825D65">
        <w:rPr>
          <w:szCs w:val="22"/>
        </w:rPr>
        <w:tab/>
      </w:r>
      <w:r w:rsidRPr="00825D65">
        <w:rPr>
          <w:szCs w:val="22"/>
        </w:rPr>
        <w:tab/>
        <w:t xml:space="preserve">Visiting medical student, Sloan Kettering Cancer Center, New York, NY. </w:t>
      </w:r>
    </w:p>
    <w:p w14:paraId="1623CF8A" w14:textId="6CF3425B" w:rsidR="00600A13" w:rsidRPr="00825D65" w:rsidRDefault="00600A13" w:rsidP="00DD4C78">
      <w:pPr>
        <w:tabs>
          <w:tab w:val="left" w:pos="-567"/>
          <w:tab w:val="left" w:pos="0"/>
          <w:tab w:val="left" w:pos="565"/>
          <w:tab w:val="left" w:pos="1130"/>
          <w:tab w:val="left" w:pos="1698"/>
          <w:tab w:val="left" w:pos="2264"/>
          <w:tab w:val="left" w:pos="2829"/>
          <w:tab w:val="left" w:pos="3397"/>
          <w:tab w:val="left" w:pos="3962"/>
          <w:tab w:val="left" w:pos="4530"/>
          <w:tab w:val="left" w:pos="5096"/>
          <w:tab w:val="left" w:pos="5661"/>
          <w:tab w:val="left" w:pos="6229"/>
          <w:tab w:val="left" w:pos="6794"/>
          <w:tab w:val="left" w:pos="7362"/>
          <w:tab w:val="left" w:pos="7928"/>
          <w:tab w:val="left" w:pos="8493"/>
          <w:tab w:val="left" w:pos="9061"/>
          <w:tab w:val="left" w:pos="9636"/>
          <w:tab w:val="left" w:pos="10760"/>
          <w:tab w:val="left" w:pos="11325"/>
          <w:tab w:val="left" w:pos="11893"/>
          <w:tab w:val="left" w:pos="12458"/>
          <w:tab w:val="left" w:pos="13026"/>
          <w:tab w:val="left" w:pos="13592"/>
          <w:tab w:val="left" w:pos="14157"/>
          <w:tab w:val="left" w:pos="14725"/>
          <w:tab w:val="left" w:pos="15290"/>
          <w:tab w:val="left" w:pos="15858"/>
          <w:tab w:val="left" w:pos="16424"/>
          <w:tab w:val="left" w:pos="16989"/>
          <w:tab w:val="left" w:pos="17557"/>
          <w:tab w:val="left" w:pos="18122"/>
          <w:tab w:val="left" w:pos="18690"/>
          <w:tab w:val="left" w:pos="19256"/>
          <w:tab w:val="left" w:pos="19821"/>
          <w:tab w:val="left" w:pos="20389"/>
          <w:tab w:val="left" w:pos="20954"/>
        </w:tabs>
        <w:ind w:left="1440" w:hanging="1440"/>
        <w:jc w:val="both"/>
        <w:rPr>
          <w:szCs w:val="22"/>
        </w:rPr>
      </w:pPr>
      <w:r w:rsidRPr="00825D65">
        <w:rPr>
          <w:szCs w:val="22"/>
        </w:rPr>
        <w:t>2001:</w:t>
      </w:r>
      <w:r w:rsidRPr="00825D65">
        <w:rPr>
          <w:szCs w:val="22"/>
        </w:rPr>
        <w:tab/>
      </w:r>
      <w:r w:rsidRPr="00825D65">
        <w:rPr>
          <w:szCs w:val="22"/>
        </w:rPr>
        <w:tab/>
      </w:r>
      <w:r w:rsidRPr="00825D65">
        <w:rPr>
          <w:szCs w:val="22"/>
        </w:rPr>
        <w:tab/>
        <w:t xml:space="preserve">Visiting scientist, Department of Cell Biology and Immunology, </w:t>
      </w:r>
      <w:proofErr w:type="spellStart"/>
      <w:r w:rsidRPr="00825D65">
        <w:rPr>
          <w:szCs w:val="22"/>
        </w:rPr>
        <w:t>Instituto</w:t>
      </w:r>
      <w:proofErr w:type="spellEnd"/>
      <w:r w:rsidRPr="00825D65">
        <w:rPr>
          <w:szCs w:val="22"/>
        </w:rPr>
        <w:t xml:space="preserve"> </w:t>
      </w:r>
      <w:proofErr w:type="spellStart"/>
      <w:r w:rsidRPr="00825D65">
        <w:rPr>
          <w:szCs w:val="22"/>
        </w:rPr>
        <w:t>Parasitologia</w:t>
      </w:r>
      <w:proofErr w:type="spellEnd"/>
      <w:r w:rsidRPr="00825D65">
        <w:rPr>
          <w:szCs w:val="22"/>
        </w:rPr>
        <w:t xml:space="preserve"> y </w:t>
      </w:r>
      <w:proofErr w:type="spellStart"/>
      <w:r w:rsidRPr="00825D65">
        <w:rPr>
          <w:szCs w:val="22"/>
        </w:rPr>
        <w:t>Biomedicina</w:t>
      </w:r>
      <w:proofErr w:type="spellEnd"/>
      <w:r w:rsidRPr="00825D65">
        <w:rPr>
          <w:szCs w:val="22"/>
        </w:rPr>
        <w:t xml:space="preserve">, C.S.I.C., Granada, Spain. </w:t>
      </w:r>
    </w:p>
    <w:p w14:paraId="76986F4A" w14:textId="74225271" w:rsidR="00600A13" w:rsidRPr="00825D65" w:rsidRDefault="00600A13" w:rsidP="00DD4C78">
      <w:pPr>
        <w:suppressAutoHyphens/>
        <w:jc w:val="both"/>
        <w:rPr>
          <w:szCs w:val="22"/>
        </w:rPr>
      </w:pPr>
      <w:r w:rsidRPr="00825D65">
        <w:rPr>
          <w:szCs w:val="22"/>
        </w:rPr>
        <w:t>1999-2002:</w:t>
      </w:r>
      <w:r w:rsidRPr="00825D65">
        <w:rPr>
          <w:szCs w:val="22"/>
        </w:rPr>
        <w:tab/>
        <w:t xml:space="preserve">Oncology fellow, Oncology Division, </w:t>
      </w:r>
      <w:proofErr w:type="spellStart"/>
      <w:r w:rsidRPr="00825D65">
        <w:rPr>
          <w:szCs w:val="22"/>
        </w:rPr>
        <w:t>Molinette</w:t>
      </w:r>
      <w:proofErr w:type="spellEnd"/>
      <w:r w:rsidRPr="00825D65">
        <w:rPr>
          <w:szCs w:val="22"/>
        </w:rPr>
        <w:t xml:space="preserve"> Hospital, Torino, Italy. </w:t>
      </w:r>
    </w:p>
    <w:p w14:paraId="50F271BA" w14:textId="77777777" w:rsidR="00600A13" w:rsidRPr="00825D65" w:rsidRDefault="00600A13" w:rsidP="00DD4C78">
      <w:pPr>
        <w:suppressAutoHyphens/>
        <w:ind w:left="1440" w:hanging="1440"/>
        <w:jc w:val="both"/>
        <w:rPr>
          <w:szCs w:val="22"/>
        </w:rPr>
      </w:pPr>
      <w:r w:rsidRPr="00825D65">
        <w:rPr>
          <w:szCs w:val="22"/>
        </w:rPr>
        <w:t>2002-2004:</w:t>
      </w:r>
      <w:r w:rsidRPr="00825D65">
        <w:rPr>
          <w:szCs w:val="22"/>
        </w:rPr>
        <w:tab/>
        <w:t xml:space="preserve">Clinical attending physician, Breast Cancer Clinic, Oncology Division, </w:t>
      </w:r>
      <w:proofErr w:type="spellStart"/>
      <w:r w:rsidRPr="00825D65">
        <w:rPr>
          <w:szCs w:val="22"/>
        </w:rPr>
        <w:t>Molinette</w:t>
      </w:r>
      <w:proofErr w:type="spellEnd"/>
      <w:r w:rsidRPr="00825D65">
        <w:rPr>
          <w:szCs w:val="22"/>
        </w:rPr>
        <w:t xml:space="preserve"> Hospital, Torino, Italy. </w:t>
      </w:r>
    </w:p>
    <w:p w14:paraId="0001D28D" w14:textId="77777777" w:rsidR="00600A13" w:rsidRPr="00825D65" w:rsidRDefault="00600A13" w:rsidP="00DD4C78">
      <w:pPr>
        <w:suppressAutoHyphens/>
        <w:ind w:left="1440" w:hanging="1440"/>
        <w:jc w:val="both"/>
        <w:rPr>
          <w:szCs w:val="22"/>
        </w:rPr>
      </w:pPr>
      <w:r w:rsidRPr="00825D65">
        <w:rPr>
          <w:szCs w:val="22"/>
        </w:rPr>
        <w:t>2002-2006:</w:t>
      </w:r>
      <w:r w:rsidRPr="00825D65">
        <w:rPr>
          <w:szCs w:val="22"/>
        </w:rPr>
        <w:tab/>
        <w:t xml:space="preserve">Ph.D. student (Genetics), Laboratory of </w:t>
      </w:r>
      <w:proofErr w:type="spellStart"/>
      <w:r w:rsidRPr="00825D65">
        <w:rPr>
          <w:szCs w:val="22"/>
        </w:rPr>
        <w:t>Immunogenetics</w:t>
      </w:r>
      <w:proofErr w:type="spellEnd"/>
      <w:r w:rsidRPr="00825D65">
        <w:rPr>
          <w:szCs w:val="22"/>
        </w:rPr>
        <w:t>, Department of Genetics, Biology and Biochemistry, University of Torino.</w:t>
      </w:r>
    </w:p>
    <w:p w14:paraId="60F726DD" w14:textId="3145016C" w:rsidR="00600A13" w:rsidRPr="00825D65" w:rsidRDefault="00600A13" w:rsidP="00DD4C78">
      <w:pPr>
        <w:suppressAutoHyphens/>
        <w:ind w:left="1440" w:hanging="1440"/>
        <w:jc w:val="both"/>
        <w:rPr>
          <w:szCs w:val="22"/>
        </w:rPr>
      </w:pPr>
      <w:r w:rsidRPr="00825D65">
        <w:rPr>
          <w:szCs w:val="22"/>
        </w:rPr>
        <w:t>2004-: 2005</w:t>
      </w:r>
      <w:r w:rsidRPr="00825D65">
        <w:rPr>
          <w:szCs w:val="22"/>
        </w:rPr>
        <w:tab/>
        <w:t>Instructor in Medicine and (2005) Visiting Assistant Professor, Beth Israel Deaconess Medical Center, Harvard Medical School, Boston, MA.</w:t>
      </w:r>
    </w:p>
    <w:p w14:paraId="049ADC9C" w14:textId="39A436E0" w:rsidR="00600A13" w:rsidRPr="00825D65" w:rsidRDefault="00D54380" w:rsidP="00DD4C78">
      <w:pPr>
        <w:suppressAutoHyphens/>
        <w:ind w:left="1440" w:hanging="1440"/>
        <w:jc w:val="both"/>
        <w:rPr>
          <w:szCs w:val="22"/>
        </w:rPr>
      </w:pPr>
      <w:r>
        <w:rPr>
          <w:szCs w:val="22"/>
        </w:rPr>
        <w:t>2005-2011</w:t>
      </w:r>
      <w:r w:rsidR="00600A13" w:rsidRPr="00825D65">
        <w:rPr>
          <w:szCs w:val="22"/>
        </w:rPr>
        <w:t>:</w:t>
      </w:r>
      <w:r w:rsidR="00600A13" w:rsidRPr="00825D65">
        <w:rPr>
          <w:szCs w:val="22"/>
        </w:rPr>
        <w:tab/>
        <w:t>Assistant Professor of Medical Genetics (“</w:t>
      </w:r>
      <w:proofErr w:type="spellStart"/>
      <w:r w:rsidR="00600A13" w:rsidRPr="00825D65">
        <w:rPr>
          <w:szCs w:val="22"/>
        </w:rPr>
        <w:t>Ricercatore</w:t>
      </w:r>
      <w:proofErr w:type="spellEnd"/>
      <w:r w:rsidR="00600A13" w:rsidRPr="00825D65">
        <w:rPr>
          <w:szCs w:val="22"/>
        </w:rPr>
        <w:t>”, “</w:t>
      </w:r>
      <w:proofErr w:type="spellStart"/>
      <w:r w:rsidR="00600A13" w:rsidRPr="00825D65">
        <w:rPr>
          <w:szCs w:val="22"/>
        </w:rPr>
        <w:t>Confermato</w:t>
      </w:r>
      <w:proofErr w:type="spellEnd"/>
      <w:r w:rsidR="00600A13" w:rsidRPr="00825D65">
        <w:rPr>
          <w:szCs w:val="22"/>
        </w:rPr>
        <w:t xml:space="preserve">” since Jan 1, 2008), University of Torino Medical School, </w:t>
      </w:r>
      <w:proofErr w:type="gramStart"/>
      <w:r w:rsidR="00600A13" w:rsidRPr="00825D65">
        <w:rPr>
          <w:szCs w:val="22"/>
        </w:rPr>
        <w:t>Torino</w:t>
      </w:r>
      <w:proofErr w:type="gramEnd"/>
      <w:r w:rsidR="00600A13" w:rsidRPr="00825D65">
        <w:rPr>
          <w:szCs w:val="22"/>
        </w:rPr>
        <w:t>, Italy.</w:t>
      </w:r>
    </w:p>
    <w:p w14:paraId="440DF25C" w14:textId="77777777" w:rsidR="00600A13" w:rsidRPr="003E4D88" w:rsidRDefault="00600A13" w:rsidP="00DD4C78">
      <w:pPr>
        <w:suppressAutoHyphens/>
        <w:ind w:left="1440" w:hanging="1440"/>
        <w:jc w:val="both"/>
        <w:rPr>
          <w:b/>
          <w:szCs w:val="22"/>
        </w:rPr>
      </w:pPr>
      <w:r w:rsidRPr="003E4D88">
        <w:rPr>
          <w:b/>
          <w:szCs w:val="22"/>
        </w:rPr>
        <w:lastRenderedPageBreak/>
        <w:t>Sept 2010-:</w:t>
      </w:r>
      <w:r w:rsidRPr="003E4D88">
        <w:rPr>
          <w:b/>
          <w:szCs w:val="22"/>
        </w:rPr>
        <w:tab/>
        <w:t xml:space="preserve">Head of the </w:t>
      </w:r>
      <w:proofErr w:type="spellStart"/>
      <w:r w:rsidRPr="003E4D88">
        <w:rPr>
          <w:b/>
          <w:szCs w:val="22"/>
        </w:rPr>
        <w:t>Immunogenetics</w:t>
      </w:r>
      <w:proofErr w:type="spellEnd"/>
      <w:r w:rsidRPr="003E4D88">
        <w:rPr>
          <w:b/>
          <w:szCs w:val="22"/>
        </w:rPr>
        <w:t xml:space="preserve"> Research Unit of the Human Genetics Foundation (</w:t>
      </w:r>
      <w:hyperlink r:id="rId13" w:history="1">
        <w:r w:rsidRPr="003E4D88">
          <w:rPr>
            <w:b/>
            <w:szCs w:val="22"/>
          </w:rPr>
          <w:t>www.hugef-torino.org</w:t>
        </w:r>
      </w:hyperlink>
      <w:r w:rsidRPr="003E4D88">
        <w:rPr>
          <w:b/>
          <w:szCs w:val="22"/>
        </w:rPr>
        <w:t>), Turin, Italy.</w:t>
      </w:r>
    </w:p>
    <w:p w14:paraId="66179B45" w14:textId="77777777" w:rsidR="00600A13" w:rsidRPr="003E4D88" w:rsidRDefault="00600A13" w:rsidP="00DD4C78">
      <w:pPr>
        <w:suppressAutoHyphens/>
        <w:ind w:left="1440" w:hanging="1440"/>
        <w:jc w:val="both"/>
        <w:rPr>
          <w:b/>
          <w:szCs w:val="22"/>
        </w:rPr>
      </w:pPr>
      <w:r w:rsidRPr="003E4D88">
        <w:rPr>
          <w:b/>
          <w:szCs w:val="22"/>
        </w:rPr>
        <w:t>Oct 2011-:</w:t>
      </w:r>
      <w:r w:rsidRPr="003E4D88">
        <w:rPr>
          <w:b/>
          <w:szCs w:val="22"/>
        </w:rPr>
        <w:tab/>
        <w:t xml:space="preserve">Associate Professor of Medical Genetics, University of Torino Medical School, </w:t>
      </w:r>
      <w:proofErr w:type="gramStart"/>
      <w:r w:rsidRPr="003E4D88">
        <w:rPr>
          <w:b/>
          <w:szCs w:val="22"/>
        </w:rPr>
        <w:t>Torino</w:t>
      </w:r>
      <w:proofErr w:type="gramEnd"/>
      <w:r w:rsidRPr="003E4D88">
        <w:rPr>
          <w:b/>
          <w:szCs w:val="22"/>
        </w:rPr>
        <w:t>, Italy.</w:t>
      </w:r>
    </w:p>
    <w:p w14:paraId="32AC9CD4" w14:textId="13FDEB65" w:rsidR="00600A13" w:rsidRDefault="00600A13" w:rsidP="00DD4C78">
      <w:pPr>
        <w:suppressAutoHyphens/>
        <w:ind w:left="1440" w:hanging="1440"/>
        <w:jc w:val="both"/>
        <w:rPr>
          <w:szCs w:val="22"/>
        </w:rPr>
      </w:pPr>
      <w:r w:rsidRPr="00825D65">
        <w:rPr>
          <w:szCs w:val="22"/>
        </w:rPr>
        <w:t>2014</w:t>
      </w:r>
      <w:r w:rsidR="003E4D88">
        <w:rPr>
          <w:szCs w:val="22"/>
        </w:rPr>
        <w:t>-2016</w:t>
      </w:r>
      <w:r w:rsidRPr="00825D65">
        <w:rPr>
          <w:szCs w:val="22"/>
        </w:rPr>
        <w:t>:</w:t>
      </w:r>
      <w:r w:rsidRPr="00825D65">
        <w:rPr>
          <w:szCs w:val="22"/>
        </w:rPr>
        <w:tab/>
        <w:t>Visiting Associate Professor, Department of Pathology and Laboratory Medicine, Weill Cornell Medical Center, Cornell University, New York, NY.</w:t>
      </w:r>
    </w:p>
    <w:p w14:paraId="0F3C3818" w14:textId="14409F41" w:rsidR="003E4D88" w:rsidRPr="003E4D88" w:rsidRDefault="003E4D88" w:rsidP="00DD4C78">
      <w:pPr>
        <w:suppressAutoHyphens/>
        <w:ind w:left="1440" w:hanging="1440"/>
        <w:jc w:val="both"/>
        <w:rPr>
          <w:b/>
          <w:szCs w:val="22"/>
        </w:rPr>
      </w:pPr>
      <w:r w:rsidRPr="003E4D88">
        <w:rPr>
          <w:b/>
          <w:szCs w:val="22"/>
        </w:rPr>
        <w:t>Sept 2016-:</w:t>
      </w:r>
      <w:r w:rsidRPr="003E4D88">
        <w:rPr>
          <w:b/>
          <w:szCs w:val="22"/>
        </w:rPr>
        <w:tab/>
      </w:r>
      <w:proofErr w:type="spellStart"/>
      <w:r w:rsidRPr="003E4D88">
        <w:rPr>
          <w:b/>
          <w:szCs w:val="22"/>
        </w:rPr>
        <w:t>Dirigente</w:t>
      </w:r>
      <w:proofErr w:type="spellEnd"/>
      <w:r w:rsidRPr="003E4D88">
        <w:rPr>
          <w:b/>
          <w:szCs w:val="22"/>
        </w:rPr>
        <w:t xml:space="preserve"> Medico, </w:t>
      </w:r>
      <w:proofErr w:type="spellStart"/>
      <w:r w:rsidRPr="003E4D88">
        <w:rPr>
          <w:b/>
          <w:szCs w:val="22"/>
        </w:rPr>
        <w:t>Servizio</w:t>
      </w:r>
      <w:proofErr w:type="spellEnd"/>
      <w:r w:rsidRPr="003E4D88">
        <w:rPr>
          <w:b/>
          <w:szCs w:val="22"/>
        </w:rPr>
        <w:t xml:space="preserve"> di </w:t>
      </w:r>
      <w:proofErr w:type="spellStart"/>
      <w:r w:rsidRPr="003E4D88">
        <w:rPr>
          <w:b/>
          <w:szCs w:val="22"/>
        </w:rPr>
        <w:t>Immunogenetica</w:t>
      </w:r>
      <w:proofErr w:type="spellEnd"/>
      <w:r w:rsidRPr="003E4D88">
        <w:rPr>
          <w:b/>
          <w:szCs w:val="22"/>
        </w:rPr>
        <w:t xml:space="preserve"> e </w:t>
      </w:r>
      <w:proofErr w:type="spellStart"/>
      <w:r w:rsidRPr="003E4D88">
        <w:rPr>
          <w:b/>
          <w:szCs w:val="22"/>
        </w:rPr>
        <w:t>Biologia</w:t>
      </w:r>
      <w:proofErr w:type="spellEnd"/>
      <w:r w:rsidRPr="003E4D88">
        <w:rPr>
          <w:b/>
          <w:szCs w:val="22"/>
        </w:rPr>
        <w:t xml:space="preserve"> </w:t>
      </w:r>
      <w:proofErr w:type="spellStart"/>
      <w:r w:rsidRPr="003E4D88">
        <w:rPr>
          <w:b/>
          <w:szCs w:val="22"/>
        </w:rPr>
        <w:t>dei</w:t>
      </w:r>
      <w:proofErr w:type="spellEnd"/>
      <w:r w:rsidRPr="003E4D88">
        <w:rPr>
          <w:b/>
          <w:szCs w:val="22"/>
        </w:rPr>
        <w:t xml:space="preserve"> </w:t>
      </w:r>
      <w:proofErr w:type="spellStart"/>
      <w:r w:rsidRPr="003E4D88">
        <w:rPr>
          <w:b/>
          <w:szCs w:val="22"/>
        </w:rPr>
        <w:t>Trapianti</w:t>
      </w:r>
      <w:proofErr w:type="spellEnd"/>
      <w:r w:rsidRPr="003E4D88">
        <w:rPr>
          <w:b/>
          <w:szCs w:val="22"/>
        </w:rPr>
        <w:t xml:space="preserve">, </w:t>
      </w:r>
      <w:proofErr w:type="spellStart"/>
      <w:r w:rsidRPr="003E4D88">
        <w:rPr>
          <w:b/>
          <w:szCs w:val="22"/>
        </w:rPr>
        <w:t>Città</w:t>
      </w:r>
      <w:proofErr w:type="spellEnd"/>
      <w:r w:rsidRPr="003E4D88">
        <w:rPr>
          <w:b/>
          <w:szCs w:val="22"/>
        </w:rPr>
        <w:t xml:space="preserve"> </w:t>
      </w:r>
      <w:proofErr w:type="spellStart"/>
      <w:r w:rsidRPr="003E4D88">
        <w:rPr>
          <w:b/>
          <w:szCs w:val="22"/>
        </w:rPr>
        <w:t>della</w:t>
      </w:r>
      <w:proofErr w:type="spellEnd"/>
      <w:r w:rsidRPr="003E4D88">
        <w:rPr>
          <w:b/>
          <w:szCs w:val="22"/>
        </w:rPr>
        <w:t xml:space="preserve"> Salute e </w:t>
      </w:r>
      <w:proofErr w:type="spellStart"/>
      <w:r w:rsidRPr="003E4D88">
        <w:rPr>
          <w:b/>
          <w:szCs w:val="22"/>
        </w:rPr>
        <w:t>della</w:t>
      </w:r>
      <w:proofErr w:type="spellEnd"/>
      <w:r w:rsidRPr="003E4D88">
        <w:rPr>
          <w:b/>
          <w:szCs w:val="22"/>
        </w:rPr>
        <w:t xml:space="preserve"> </w:t>
      </w:r>
      <w:proofErr w:type="spellStart"/>
      <w:r w:rsidRPr="003E4D88">
        <w:rPr>
          <w:b/>
          <w:szCs w:val="22"/>
        </w:rPr>
        <w:t>Scienza</w:t>
      </w:r>
      <w:proofErr w:type="spellEnd"/>
      <w:r w:rsidRPr="003E4D88">
        <w:rPr>
          <w:b/>
          <w:szCs w:val="22"/>
        </w:rPr>
        <w:t xml:space="preserve"> Hospital, Turin, Italy.</w:t>
      </w:r>
    </w:p>
    <w:p w14:paraId="57B486EC" w14:textId="77777777" w:rsidR="001360A5" w:rsidRPr="00E06C66" w:rsidRDefault="001360A5" w:rsidP="00DD4C78">
      <w:pPr>
        <w:widowControl w:val="0"/>
        <w:spacing w:before="120"/>
        <w:jc w:val="both"/>
        <w:rPr>
          <w:b/>
          <w:u w:val="single"/>
        </w:rPr>
      </w:pPr>
      <w:r w:rsidRPr="00E06C66">
        <w:rPr>
          <w:b/>
          <w:u w:val="single"/>
        </w:rPr>
        <w:t>Honors and Professional Service:</w:t>
      </w:r>
    </w:p>
    <w:p w14:paraId="4DEB5DF4" w14:textId="77777777" w:rsidR="00600A13" w:rsidRPr="00825D65" w:rsidRDefault="00600A13" w:rsidP="00DD4C78">
      <w:pPr>
        <w:suppressAutoHyphens/>
        <w:ind w:left="1440" w:hanging="1440"/>
        <w:jc w:val="both"/>
        <w:rPr>
          <w:szCs w:val="22"/>
        </w:rPr>
      </w:pPr>
      <w:r w:rsidRPr="00825D65">
        <w:rPr>
          <w:szCs w:val="22"/>
        </w:rPr>
        <w:t xml:space="preserve">1996: </w:t>
      </w:r>
      <w:r w:rsidRPr="00825D65">
        <w:rPr>
          <w:szCs w:val="22"/>
        </w:rPr>
        <w:tab/>
        <w:t>PBI international Prize for the best abstract presented at the 1996 Immunology Cooperation Group (GCI) meeting in L’Aquila, Italy.</w:t>
      </w:r>
    </w:p>
    <w:p w14:paraId="5980429D" w14:textId="77777777" w:rsidR="00600A13" w:rsidRPr="00825D65" w:rsidRDefault="00600A13" w:rsidP="00DD4C78">
      <w:pPr>
        <w:suppressAutoHyphens/>
        <w:ind w:left="1440" w:hanging="1440"/>
        <w:jc w:val="both"/>
        <w:rPr>
          <w:szCs w:val="22"/>
        </w:rPr>
      </w:pPr>
      <w:r w:rsidRPr="00825D65">
        <w:rPr>
          <w:szCs w:val="22"/>
        </w:rPr>
        <w:t xml:space="preserve">1998: </w:t>
      </w:r>
      <w:r w:rsidRPr="00825D65">
        <w:rPr>
          <w:szCs w:val="22"/>
        </w:rPr>
        <w:tab/>
        <w:t>Telethon Foundation Prize for scientific research, Roma, Italy.</w:t>
      </w:r>
    </w:p>
    <w:p w14:paraId="28886D3C" w14:textId="61EC2011" w:rsidR="00600A13" w:rsidRPr="00825D65" w:rsidRDefault="004F15C1" w:rsidP="00DD4C78">
      <w:pPr>
        <w:suppressAutoHyphens/>
        <w:ind w:left="1440" w:hanging="1440"/>
        <w:jc w:val="both"/>
        <w:rPr>
          <w:szCs w:val="22"/>
        </w:rPr>
      </w:pPr>
      <w:r>
        <w:rPr>
          <w:szCs w:val="22"/>
        </w:rPr>
        <w:t xml:space="preserve">1999: </w:t>
      </w:r>
      <w:r>
        <w:rPr>
          <w:szCs w:val="22"/>
        </w:rPr>
        <w:tab/>
      </w:r>
      <w:proofErr w:type="spellStart"/>
      <w:r>
        <w:rPr>
          <w:szCs w:val="22"/>
        </w:rPr>
        <w:t>Optime</w:t>
      </w:r>
      <w:proofErr w:type="spellEnd"/>
      <w:r>
        <w:rPr>
          <w:szCs w:val="22"/>
        </w:rPr>
        <w:t xml:space="preserve"> Prize for best-</w:t>
      </w:r>
      <w:r w:rsidR="00600A13" w:rsidRPr="00825D65">
        <w:rPr>
          <w:szCs w:val="22"/>
        </w:rPr>
        <w:t xml:space="preserve">qualified students, Industrial Association of Torino. Torino, Italy. </w:t>
      </w:r>
    </w:p>
    <w:p w14:paraId="14D3555D" w14:textId="77777777" w:rsidR="00600A13" w:rsidRPr="00825D65" w:rsidRDefault="00600A13" w:rsidP="00DD4C78">
      <w:pPr>
        <w:suppressAutoHyphens/>
        <w:ind w:left="1440" w:hanging="1440"/>
        <w:jc w:val="both"/>
        <w:rPr>
          <w:szCs w:val="22"/>
        </w:rPr>
      </w:pPr>
      <w:r w:rsidRPr="00825D65">
        <w:rPr>
          <w:szCs w:val="22"/>
        </w:rPr>
        <w:t xml:space="preserve">2002: </w:t>
      </w:r>
      <w:r w:rsidRPr="00825D65">
        <w:rPr>
          <w:szCs w:val="22"/>
        </w:rPr>
        <w:tab/>
        <w:t xml:space="preserve">Cecilia </w:t>
      </w:r>
      <w:proofErr w:type="spellStart"/>
      <w:r w:rsidRPr="00825D65">
        <w:rPr>
          <w:szCs w:val="22"/>
        </w:rPr>
        <w:t>Cioffrese</w:t>
      </w:r>
      <w:proofErr w:type="spellEnd"/>
      <w:r w:rsidRPr="00825D65">
        <w:rPr>
          <w:szCs w:val="22"/>
        </w:rPr>
        <w:t xml:space="preserve"> prize for cancer research (Milano, Italy)</w:t>
      </w:r>
    </w:p>
    <w:p w14:paraId="0A7E9DF7" w14:textId="77777777" w:rsidR="00600A13" w:rsidRPr="00825D65" w:rsidRDefault="00600A13" w:rsidP="00DD4C78">
      <w:pPr>
        <w:suppressAutoHyphens/>
        <w:ind w:left="1440" w:hanging="1440"/>
        <w:jc w:val="both"/>
        <w:rPr>
          <w:szCs w:val="22"/>
        </w:rPr>
      </w:pPr>
      <w:r w:rsidRPr="00825D65">
        <w:rPr>
          <w:szCs w:val="22"/>
        </w:rPr>
        <w:t xml:space="preserve">2004: </w:t>
      </w:r>
      <w:r w:rsidRPr="00825D65">
        <w:rPr>
          <w:szCs w:val="22"/>
        </w:rPr>
        <w:tab/>
        <w:t>Walter Knapp Young Investigator Award. Prize presented at the VIII HLDA Congress, December 10-14, 2004, Adelaide, Australia.</w:t>
      </w:r>
    </w:p>
    <w:p w14:paraId="367EC3A7" w14:textId="77777777" w:rsidR="00600A13" w:rsidRPr="00825D65" w:rsidRDefault="00600A13" w:rsidP="00DD4C78">
      <w:pPr>
        <w:suppressAutoHyphens/>
        <w:ind w:left="1440" w:hanging="1440"/>
        <w:jc w:val="both"/>
        <w:rPr>
          <w:szCs w:val="22"/>
        </w:rPr>
      </w:pPr>
      <w:r w:rsidRPr="00825D65">
        <w:rPr>
          <w:szCs w:val="22"/>
        </w:rPr>
        <w:t>2006:</w:t>
      </w:r>
      <w:r w:rsidRPr="00825D65">
        <w:rPr>
          <w:szCs w:val="22"/>
        </w:rPr>
        <w:tab/>
        <w:t>Italian Cancer League Prize for translational researches in hematology (Asti, October 18, 2006)</w:t>
      </w:r>
    </w:p>
    <w:p w14:paraId="3824BCFA" w14:textId="77777777" w:rsidR="00600A13" w:rsidRPr="006577AA" w:rsidRDefault="00600A13" w:rsidP="00DD4C78">
      <w:pPr>
        <w:suppressAutoHyphens/>
        <w:ind w:left="1440" w:hanging="1440"/>
        <w:jc w:val="both"/>
        <w:rPr>
          <w:rFonts w:ascii="Calibri" w:hAnsi="Calibri"/>
          <w:lang w:val="en-GB"/>
        </w:rPr>
      </w:pPr>
    </w:p>
    <w:p w14:paraId="63F45297" w14:textId="7B1E1338" w:rsidR="00116F7D" w:rsidRPr="009E394E" w:rsidRDefault="00E67A05" w:rsidP="00DD4C78">
      <w:pPr>
        <w:pStyle w:val="Nessunaspaziatura"/>
        <w:ind w:left="180" w:hanging="180"/>
        <w:jc w:val="both"/>
        <w:rPr>
          <w:rFonts w:cs="Arial"/>
          <w:b/>
          <w:szCs w:val="22"/>
        </w:rPr>
      </w:pPr>
      <w:r w:rsidRPr="009E394E">
        <w:rPr>
          <w:rFonts w:cs="Arial"/>
          <w:b/>
          <w:szCs w:val="22"/>
        </w:rPr>
        <w:t>C.</w:t>
      </w:r>
      <w:r w:rsidRPr="009E394E">
        <w:rPr>
          <w:rFonts w:cs="Arial"/>
          <w:b/>
          <w:szCs w:val="22"/>
        </w:rPr>
        <w:tab/>
      </w:r>
      <w:r w:rsidR="00E06C66" w:rsidRPr="009E394E">
        <w:rPr>
          <w:rFonts w:cs="Arial"/>
          <w:b/>
          <w:szCs w:val="22"/>
        </w:rPr>
        <w:t xml:space="preserve">Contribution to Science </w:t>
      </w:r>
    </w:p>
    <w:p w14:paraId="3FC06125" w14:textId="526A4090" w:rsidR="00CA0815" w:rsidRDefault="00881BCA" w:rsidP="00DD4C78">
      <w:pPr>
        <w:pStyle w:val="Nessunaspaziatura"/>
        <w:ind w:left="360" w:hanging="360"/>
        <w:jc w:val="both"/>
        <w:rPr>
          <w:rFonts w:cs="Arial"/>
          <w:szCs w:val="22"/>
        </w:rPr>
      </w:pPr>
      <w:r>
        <w:rPr>
          <w:rFonts w:cs="Arial"/>
          <w:szCs w:val="22"/>
        </w:rPr>
        <w:t>1</w:t>
      </w:r>
      <w:r w:rsidR="00E06C66" w:rsidRPr="009E394E">
        <w:rPr>
          <w:rFonts w:cs="Arial"/>
          <w:szCs w:val="22"/>
        </w:rPr>
        <w:t xml:space="preserve">. </w:t>
      </w:r>
      <w:r w:rsidR="001E320E" w:rsidRPr="009E394E">
        <w:rPr>
          <w:rFonts w:cs="Arial"/>
          <w:szCs w:val="22"/>
        </w:rPr>
        <w:tab/>
      </w:r>
      <w:r w:rsidR="00825D65">
        <w:rPr>
          <w:rFonts w:cs="Arial"/>
          <w:szCs w:val="22"/>
        </w:rPr>
        <w:t xml:space="preserve">Identification of a natural ligand for CD38. </w:t>
      </w:r>
      <w:r w:rsidR="009F53BB">
        <w:rPr>
          <w:rFonts w:cs="Arial"/>
          <w:szCs w:val="22"/>
        </w:rPr>
        <w:t xml:space="preserve">We raised a panel of monoclonal antibodies to perturb CD38-mediated adhesion to the endothelial cells. This led to the identification of CD31 as a ligand for CD38. CD31/CD38 interactions occur in the early phases of lymphocyte adhesion and mediate, activation, integrin expression and secretion of a number of cytokines and </w:t>
      </w:r>
      <w:proofErr w:type="spellStart"/>
      <w:r w:rsidR="009F53BB">
        <w:rPr>
          <w:rFonts w:cs="Arial"/>
          <w:szCs w:val="22"/>
        </w:rPr>
        <w:t>chemokines</w:t>
      </w:r>
      <w:proofErr w:type="spellEnd"/>
      <w:r w:rsidR="009F53BB">
        <w:rPr>
          <w:rFonts w:cs="Arial"/>
          <w:szCs w:val="22"/>
        </w:rPr>
        <w:t>. The role of CD31-CD38 interactions was then dissected in different normal and pathological conditions.</w:t>
      </w:r>
      <w:r w:rsidR="00DF47A3">
        <w:rPr>
          <w:rFonts w:cs="Arial"/>
          <w:szCs w:val="22"/>
        </w:rPr>
        <w:t xml:space="preserve"> Most relevant publications:</w:t>
      </w:r>
    </w:p>
    <w:p w14:paraId="7747CB90" w14:textId="77777777" w:rsidR="003D61EE" w:rsidRDefault="003D61EE" w:rsidP="00DD4C78">
      <w:pPr>
        <w:pStyle w:val="Nessunaspaziatura"/>
        <w:ind w:left="360" w:hanging="360"/>
        <w:jc w:val="both"/>
        <w:rPr>
          <w:rFonts w:cs="Arial"/>
          <w:szCs w:val="22"/>
        </w:rPr>
      </w:pPr>
    </w:p>
    <w:p w14:paraId="46313A74" w14:textId="760E7E3A" w:rsidR="003D61EE" w:rsidRPr="003D61EE" w:rsidRDefault="003D61EE" w:rsidP="00DD4C78">
      <w:pPr>
        <w:pStyle w:val="EndNoteBibliography"/>
        <w:ind w:left="720" w:hanging="720"/>
        <w:jc w:val="both"/>
        <w:rPr>
          <w:rFonts w:ascii="Arial" w:eastAsia="Times New Roman" w:hAnsi="Arial" w:cs="Arial"/>
          <w:sz w:val="22"/>
          <w:szCs w:val="22"/>
        </w:rPr>
      </w:pPr>
      <w:r w:rsidRPr="003D61EE">
        <w:rPr>
          <w:rFonts w:ascii="Arial" w:eastAsia="Times New Roman" w:hAnsi="Arial" w:cs="Arial"/>
          <w:sz w:val="22"/>
          <w:szCs w:val="22"/>
        </w:rPr>
        <w:fldChar w:fldCharType="begin"/>
      </w:r>
      <w:r w:rsidRPr="003D61EE">
        <w:rPr>
          <w:rFonts w:ascii="Arial" w:eastAsia="Times New Roman" w:hAnsi="Arial" w:cs="Arial"/>
          <w:sz w:val="22"/>
          <w:szCs w:val="22"/>
        </w:rPr>
        <w:instrText xml:space="preserve"> ADDIN EN.REFLIST </w:instrText>
      </w:r>
      <w:r w:rsidRPr="003D61EE">
        <w:rPr>
          <w:rFonts w:ascii="Arial" w:eastAsia="Times New Roman" w:hAnsi="Arial" w:cs="Arial"/>
          <w:sz w:val="22"/>
          <w:szCs w:val="22"/>
        </w:rPr>
        <w:fldChar w:fldCharType="separate"/>
      </w:r>
      <w:r w:rsidR="00881BCA">
        <w:rPr>
          <w:rFonts w:ascii="Arial" w:eastAsia="Times New Roman" w:hAnsi="Arial" w:cs="Arial"/>
          <w:sz w:val="22"/>
          <w:szCs w:val="22"/>
        </w:rPr>
        <w:t>a</w:t>
      </w:r>
      <w:r w:rsidRPr="003D61EE">
        <w:rPr>
          <w:rFonts w:ascii="Arial" w:eastAsia="Times New Roman" w:hAnsi="Arial" w:cs="Arial"/>
          <w:sz w:val="22"/>
          <w:szCs w:val="22"/>
        </w:rPr>
        <w:t>.</w:t>
      </w:r>
      <w:r w:rsidRPr="003D61EE">
        <w:rPr>
          <w:rFonts w:ascii="Arial" w:eastAsia="Times New Roman" w:hAnsi="Arial" w:cs="Arial"/>
          <w:sz w:val="22"/>
          <w:szCs w:val="22"/>
        </w:rPr>
        <w:tab/>
        <w:t>Deaglio S, Dianzani U, Horenstein AL, Fernandez JE, van Kooten C, Bragardo M, Funaro A, Garbarino G, Di Virgilio F, Banchereau J, et al. Human CD38 ligand. A 120-KDA protein predominantly expressed on endothelial cells. J Immunol. 1996;156(2):727-34.</w:t>
      </w:r>
    </w:p>
    <w:p w14:paraId="699C3FBE" w14:textId="0CE57560" w:rsidR="003D61EE" w:rsidRPr="003D61EE" w:rsidRDefault="00881BCA" w:rsidP="00DD4C78">
      <w:pPr>
        <w:pStyle w:val="EndNoteBibliography"/>
        <w:ind w:left="720" w:hanging="720"/>
        <w:jc w:val="both"/>
        <w:rPr>
          <w:rFonts w:ascii="Arial" w:eastAsia="Times New Roman" w:hAnsi="Arial" w:cs="Arial"/>
          <w:sz w:val="22"/>
          <w:szCs w:val="22"/>
        </w:rPr>
      </w:pPr>
      <w:r>
        <w:rPr>
          <w:rFonts w:ascii="Arial" w:eastAsia="Times New Roman" w:hAnsi="Arial" w:cs="Arial"/>
          <w:sz w:val="22"/>
          <w:szCs w:val="22"/>
        </w:rPr>
        <w:t>b</w:t>
      </w:r>
      <w:r w:rsidR="003D61EE" w:rsidRPr="003D61EE">
        <w:rPr>
          <w:rFonts w:ascii="Arial" w:eastAsia="Times New Roman" w:hAnsi="Arial" w:cs="Arial"/>
          <w:sz w:val="22"/>
          <w:szCs w:val="22"/>
        </w:rPr>
        <w:t>.</w:t>
      </w:r>
      <w:r w:rsidR="003D61EE" w:rsidRPr="003D61EE">
        <w:rPr>
          <w:rFonts w:ascii="Arial" w:eastAsia="Times New Roman" w:hAnsi="Arial" w:cs="Arial"/>
          <w:sz w:val="22"/>
          <w:szCs w:val="22"/>
        </w:rPr>
        <w:tab/>
        <w:t>Deaglio S, Morra M, Mallone R, Ausiello CM, Prager E, Garbarino G, Dianzani U, Stockinger H, and Malavasi F. Human CD38 (ADP-ribosyl cyclase) is a counter-receptor of CD31, an Ig superfamily member. J Immunol. 1998;160(1):395-402.</w:t>
      </w:r>
    </w:p>
    <w:p w14:paraId="2A46406E" w14:textId="4C070622" w:rsidR="003D61EE" w:rsidRDefault="00881BCA" w:rsidP="00DD4C78">
      <w:pPr>
        <w:pStyle w:val="EndNoteBibliography"/>
        <w:ind w:left="720" w:hanging="720"/>
        <w:jc w:val="both"/>
        <w:rPr>
          <w:rFonts w:ascii="Arial" w:eastAsia="Times New Roman" w:hAnsi="Arial" w:cs="Arial"/>
          <w:sz w:val="22"/>
          <w:szCs w:val="22"/>
        </w:rPr>
      </w:pPr>
      <w:r>
        <w:rPr>
          <w:rFonts w:ascii="Arial" w:eastAsia="Times New Roman" w:hAnsi="Arial" w:cs="Arial"/>
          <w:sz w:val="22"/>
          <w:szCs w:val="22"/>
        </w:rPr>
        <w:t>c</w:t>
      </w:r>
      <w:r w:rsidR="003D61EE" w:rsidRPr="003D61EE">
        <w:rPr>
          <w:rFonts w:ascii="Arial" w:eastAsia="Times New Roman" w:hAnsi="Arial" w:cs="Arial"/>
          <w:sz w:val="22"/>
          <w:szCs w:val="22"/>
        </w:rPr>
        <w:t>.</w:t>
      </w:r>
      <w:r w:rsidR="003D61EE" w:rsidRPr="003D61EE">
        <w:rPr>
          <w:rFonts w:ascii="Arial" w:eastAsia="Times New Roman" w:hAnsi="Arial" w:cs="Arial"/>
          <w:sz w:val="22"/>
          <w:szCs w:val="22"/>
        </w:rPr>
        <w:tab/>
        <w:t>Deaglio S, Mallone R, Baj G, Donati D, Giraudo G, Corno F, Bruzzone S, Geuna M, Ausiello C, and Malavasi F. Human CD38 and its ligand CD31 define a unique lamina propria T lymphocyte signaling pathway. FASEB J. 2001;15(3):580-2.</w:t>
      </w:r>
    </w:p>
    <w:p w14:paraId="1CCA34B7" w14:textId="3E9D4104" w:rsidR="00DD4C78" w:rsidRPr="00DD4C78" w:rsidRDefault="00881BCA" w:rsidP="00881BCA">
      <w:pPr>
        <w:pStyle w:val="EndNoteBibliography"/>
        <w:ind w:left="720" w:hanging="720"/>
        <w:jc w:val="both"/>
        <w:rPr>
          <w:rFonts w:ascii="Arial" w:eastAsia="Times New Roman" w:hAnsi="Arial" w:cs="Arial"/>
          <w:sz w:val="22"/>
          <w:szCs w:val="22"/>
        </w:rPr>
      </w:pPr>
      <w:r>
        <w:rPr>
          <w:rFonts w:ascii="Arial" w:eastAsia="Times New Roman" w:hAnsi="Arial" w:cs="Arial"/>
          <w:sz w:val="22"/>
          <w:szCs w:val="22"/>
        </w:rPr>
        <w:t>d.</w:t>
      </w:r>
      <w:r>
        <w:rPr>
          <w:rFonts w:ascii="Arial" w:eastAsia="Times New Roman" w:hAnsi="Arial" w:cs="Arial"/>
          <w:sz w:val="22"/>
          <w:szCs w:val="22"/>
        </w:rPr>
        <w:tab/>
      </w:r>
      <w:r w:rsidR="00DD4C78" w:rsidRPr="00DD4C78">
        <w:rPr>
          <w:rFonts w:ascii="Arial" w:eastAsia="Times New Roman" w:hAnsi="Arial" w:cs="Arial"/>
          <w:sz w:val="22"/>
          <w:szCs w:val="22"/>
        </w:rPr>
        <w:fldChar w:fldCharType="begin"/>
      </w:r>
      <w:r w:rsidR="00DD4C78" w:rsidRPr="00DD4C78">
        <w:rPr>
          <w:rFonts w:ascii="Arial" w:eastAsia="Times New Roman" w:hAnsi="Arial" w:cs="Arial"/>
          <w:sz w:val="22"/>
          <w:szCs w:val="22"/>
        </w:rPr>
        <w:instrText xml:space="preserve"> ADDIN EN.REFLIST </w:instrText>
      </w:r>
      <w:r w:rsidR="00DD4C78" w:rsidRPr="00DD4C78">
        <w:rPr>
          <w:rFonts w:ascii="Arial" w:eastAsia="Times New Roman" w:hAnsi="Arial" w:cs="Arial"/>
          <w:sz w:val="22"/>
          <w:szCs w:val="22"/>
        </w:rPr>
        <w:fldChar w:fldCharType="separate"/>
      </w:r>
      <w:r w:rsidR="00DD4C78" w:rsidRPr="00DD4C78">
        <w:rPr>
          <w:rFonts w:ascii="Arial" w:eastAsia="Times New Roman" w:hAnsi="Arial" w:cs="Arial"/>
          <w:sz w:val="22"/>
          <w:szCs w:val="22"/>
        </w:rPr>
        <w:t>Malavasi F, Deaglio S, Funaro A, Ferrero E, Horenstein AL, Ortolan E, Vaisitti T, and Aydin S. Evolution and function of the ADP ribosyl cyclase/CD38 gene family in physiology and pathology. Physiol Rev. 2008;88(3):841-86.</w:t>
      </w:r>
    </w:p>
    <w:p w14:paraId="294AEE11" w14:textId="4A52F54A" w:rsidR="00DD4C78" w:rsidRPr="00DD4C78" w:rsidRDefault="00DD4C78" w:rsidP="00DD4C78">
      <w:pPr>
        <w:pStyle w:val="EndNoteBibliography"/>
        <w:ind w:left="720" w:hanging="720"/>
        <w:jc w:val="both"/>
      </w:pPr>
      <w:r w:rsidRPr="00DD4C78">
        <w:rPr>
          <w:rFonts w:ascii="Arial" w:eastAsia="Times New Roman" w:hAnsi="Arial" w:cs="Arial"/>
          <w:sz w:val="22"/>
          <w:szCs w:val="22"/>
        </w:rPr>
        <w:fldChar w:fldCharType="end"/>
      </w:r>
    </w:p>
    <w:p w14:paraId="1B10ADCB" w14:textId="0B57B3E6" w:rsidR="009F53BB" w:rsidRDefault="003D61EE" w:rsidP="00881BCA">
      <w:pPr>
        <w:ind w:left="360" w:hanging="360"/>
        <w:jc w:val="both"/>
        <w:rPr>
          <w:rFonts w:cs="Arial"/>
          <w:szCs w:val="22"/>
        </w:rPr>
      </w:pPr>
      <w:r w:rsidRPr="003D61EE">
        <w:rPr>
          <w:rFonts w:cs="Arial"/>
          <w:szCs w:val="22"/>
        </w:rPr>
        <w:fldChar w:fldCharType="end"/>
      </w:r>
      <w:r w:rsidR="00881BCA">
        <w:rPr>
          <w:rFonts w:cs="Arial"/>
          <w:szCs w:val="22"/>
        </w:rPr>
        <w:t>2</w:t>
      </w:r>
      <w:r w:rsidR="009F53BB">
        <w:rPr>
          <w:rFonts w:cs="Arial"/>
          <w:szCs w:val="22"/>
        </w:rPr>
        <w:t>.</w:t>
      </w:r>
      <w:r w:rsidR="009F53BB">
        <w:rPr>
          <w:rFonts w:cs="Arial"/>
          <w:szCs w:val="22"/>
        </w:rPr>
        <w:tab/>
        <w:t>Identification of adenosine production as a non-redundant immunosuppressive mechanism of regulatory T cells. During this work, we discovered that regulatory T cells express CD39 and CD73, two key enzymes in the degradation of ATP and generation of adenosine. We also discovered that adenosine is an integral component of the suppressive mechanism of regulatory T cells, both in mice and in humans</w:t>
      </w:r>
      <w:r w:rsidR="00E62577">
        <w:rPr>
          <w:rFonts w:cs="Arial"/>
          <w:szCs w:val="22"/>
        </w:rPr>
        <w:t>.</w:t>
      </w:r>
    </w:p>
    <w:p w14:paraId="16966071" w14:textId="603B2E90" w:rsidR="00DF47A3" w:rsidRDefault="00E62577" w:rsidP="00DD4C78">
      <w:pPr>
        <w:pStyle w:val="Nessunaspaziatura"/>
        <w:ind w:left="360" w:hanging="360"/>
        <w:jc w:val="both"/>
        <w:rPr>
          <w:rFonts w:cs="Arial"/>
          <w:szCs w:val="22"/>
        </w:rPr>
      </w:pPr>
      <w:r>
        <w:rPr>
          <w:rFonts w:cs="Arial"/>
          <w:szCs w:val="22"/>
        </w:rPr>
        <w:tab/>
        <w:t xml:space="preserve">We then hypothesized that </w:t>
      </w:r>
      <w:r w:rsidR="00DF47A3">
        <w:rPr>
          <w:rFonts w:cs="Arial"/>
          <w:szCs w:val="22"/>
        </w:rPr>
        <w:t>tumor cells may hijack this mechanism</w:t>
      </w:r>
      <w:r>
        <w:rPr>
          <w:rFonts w:cs="Arial"/>
          <w:szCs w:val="22"/>
        </w:rPr>
        <w:t>, catalyzing the generation of adenosine in the tumor niche, limiting immune responses</w:t>
      </w:r>
      <w:r w:rsidR="00DF47A3">
        <w:rPr>
          <w:rFonts w:cs="Arial"/>
          <w:szCs w:val="22"/>
        </w:rPr>
        <w:t>, Most relevant publications:</w:t>
      </w:r>
    </w:p>
    <w:p w14:paraId="0B2DBE3C" w14:textId="77777777" w:rsidR="003D61EE" w:rsidRDefault="003D61EE" w:rsidP="00DD4C78">
      <w:pPr>
        <w:pStyle w:val="Nessunaspaziatura"/>
        <w:ind w:left="360" w:hanging="360"/>
        <w:jc w:val="both"/>
        <w:rPr>
          <w:rFonts w:cs="Arial"/>
          <w:szCs w:val="22"/>
        </w:rPr>
      </w:pPr>
    </w:p>
    <w:p w14:paraId="4820539A" w14:textId="083189EC" w:rsidR="003D61EE" w:rsidRPr="003D61EE" w:rsidRDefault="003D61EE" w:rsidP="00C52E1A">
      <w:pPr>
        <w:pStyle w:val="Nessunaspaziatura"/>
        <w:ind w:left="360" w:hanging="360"/>
        <w:jc w:val="both"/>
        <w:rPr>
          <w:rFonts w:cs="Arial"/>
          <w:szCs w:val="22"/>
        </w:rPr>
      </w:pPr>
      <w:r w:rsidRPr="003D61EE">
        <w:rPr>
          <w:rFonts w:cs="Arial"/>
          <w:szCs w:val="22"/>
        </w:rPr>
        <w:fldChar w:fldCharType="begin"/>
      </w:r>
      <w:r w:rsidRPr="003D61EE">
        <w:rPr>
          <w:rFonts w:cs="Arial"/>
          <w:szCs w:val="22"/>
        </w:rPr>
        <w:instrText xml:space="preserve"> ADDIN EN.REFLIST </w:instrText>
      </w:r>
      <w:r w:rsidRPr="003D61EE">
        <w:rPr>
          <w:rFonts w:cs="Arial"/>
          <w:szCs w:val="22"/>
        </w:rPr>
        <w:fldChar w:fldCharType="separate"/>
      </w:r>
      <w:r w:rsidR="008C3073">
        <w:rPr>
          <w:rFonts w:cs="Arial"/>
          <w:szCs w:val="22"/>
        </w:rPr>
        <w:t>a</w:t>
      </w:r>
      <w:r w:rsidRPr="003D61EE">
        <w:rPr>
          <w:rFonts w:cs="Arial"/>
          <w:szCs w:val="22"/>
        </w:rPr>
        <w:t>.</w:t>
      </w:r>
      <w:r w:rsidRPr="003D61EE">
        <w:rPr>
          <w:rFonts w:cs="Arial"/>
          <w:szCs w:val="22"/>
        </w:rPr>
        <w:tab/>
        <w:t>Deaglio S, Dwyer KM, Gao W, Friedman D, Usheva A, Erat A, Chen JF, Enjyoji K, Linden J, Oukka M, et al. Adenosine generation catalyzed by CD39 and CD73 expressed on regulatory T cells mediates immune suppression. J Exp Med. 2007;204(6):1257-65.</w:t>
      </w:r>
    </w:p>
    <w:p w14:paraId="1B3403DA" w14:textId="56798305" w:rsidR="003D61EE" w:rsidRPr="003D61EE" w:rsidRDefault="008C3073" w:rsidP="00C52E1A">
      <w:pPr>
        <w:pStyle w:val="Nessunaspaziatura"/>
        <w:ind w:left="360" w:hanging="360"/>
        <w:jc w:val="both"/>
        <w:rPr>
          <w:rFonts w:cs="Arial"/>
          <w:szCs w:val="22"/>
        </w:rPr>
      </w:pPr>
      <w:r>
        <w:rPr>
          <w:rFonts w:cs="Arial"/>
          <w:szCs w:val="22"/>
        </w:rPr>
        <w:t>b</w:t>
      </w:r>
      <w:r w:rsidR="003D61EE" w:rsidRPr="003D61EE">
        <w:rPr>
          <w:rFonts w:cs="Arial"/>
          <w:szCs w:val="22"/>
        </w:rPr>
        <w:t>.</w:t>
      </w:r>
      <w:r w:rsidR="003D61EE" w:rsidRPr="003D61EE">
        <w:rPr>
          <w:rFonts w:cs="Arial"/>
          <w:szCs w:val="22"/>
        </w:rPr>
        <w:tab/>
        <w:t>Sitkovsky M, Lukashev D, Deaglio S, Dwyer K, Robson SC, and Ohta A. Adenosine A2A receptor antagonists: blockade of adenosinergic effects and T regulatory cells. Br J Pharmacol. 2008;153 Suppl 1(S457-64.</w:t>
      </w:r>
    </w:p>
    <w:p w14:paraId="358491EC" w14:textId="4E7AD137" w:rsidR="003D61EE" w:rsidRDefault="008C3073" w:rsidP="00C52E1A">
      <w:pPr>
        <w:pStyle w:val="Nessunaspaziatura"/>
        <w:ind w:left="360" w:hanging="360"/>
        <w:jc w:val="both"/>
        <w:rPr>
          <w:rFonts w:cs="Arial"/>
          <w:szCs w:val="22"/>
        </w:rPr>
      </w:pPr>
      <w:r>
        <w:rPr>
          <w:rFonts w:cs="Arial"/>
          <w:szCs w:val="22"/>
        </w:rPr>
        <w:lastRenderedPageBreak/>
        <w:t>c</w:t>
      </w:r>
      <w:r w:rsidR="003D61EE" w:rsidRPr="003D61EE">
        <w:rPr>
          <w:rFonts w:cs="Arial"/>
          <w:szCs w:val="22"/>
        </w:rPr>
        <w:t>.</w:t>
      </w:r>
      <w:r w:rsidR="003D61EE" w:rsidRPr="003D61EE">
        <w:rPr>
          <w:rFonts w:cs="Arial"/>
          <w:szCs w:val="22"/>
        </w:rPr>
        <w:tab/>
        <w:t>Longhi MS, Robson SC, Bernstein SH, Serra S, and Deaglio S. Biological functions of ecto-enzymes in regulating extracellular adenosine levels in neoplastic and inflammatory disease states. Journal of molecular medicine. 2013;91(2):165-72.</w:t>
      </w:r>
    </w:p>
    <w:p w14:paraId="6324BFE1" w14:textId="4FD4DD1D" w:rsidR="00C52E1A" w:rsidRPr="00C52E1A" w:rsidRDefault="008C3073" w:rsidP="00C52E1A">
      <w:pPr>
        <w:pStyle w:val="EndNoteBibliography"/>
        <w:ind w:left="360" w:hanging="360"/>
        <w:jc w:val="both"/>
        <w:rPr>
          <w:rFonts w:ascii="Arial" w:eastAsia="Times New Roman" w:hAnsi="Arial" w:cs="Arial"/>
          <w:sz w:val="22"/>
          <w:szCs w:val="22"/>
        </w:rPr>
      </w:pPr>
      <w:r w:rsidRPr="008C3073">
        <w:rPr>
          <w:rFonts w:ascii="Arial" w:eastAsia="Times New Roman" w:hAnsi="Arial" w:cs="Arial"/>
          <w:sz w:val="22"/>
          <w:szCs w:val="22"/>
        </w:rPr>
        <w:t>d</w:t>
      </w:r>
      <w:r w:rsidR="00C52E1A" w:rsidRPr="008C3073">
        <w:rPr>
          <w:rFonts w:ascii="Arial" w:eastAsia="Times New Roman" w:hAnsi="Arial" w:cs="Arial"/>
          <w:sz w:val="22"/>
          <w:szCs w:val="22"/>
        </w:rPr>
        <w:t xml:space="preserve">. </w:t>
      </w:r>
      <w:r w:rsidR="00C52E1A" w:rsidRPr="008C3073">
        <w:rPr>
          <w:rFonts w:ascii="Arial" w:eastAsia="Times New Roman" w:hAnsi="Arial" w:cs="Arial"/>
          <w:sz w:val="22"/>
          <w:szCs w:val="22"/>
        </w:rPr>
        <w:tab/>
      </w:r>
      <w:r w:rsidR="00C52E1A" w:rsidRPr="008C3073">
        <w:rPr>
          <w:rFonts w:ascii="Arial" w:eastAsia="Times New Roman" w:hAnsi="Arial" w:cs="Arial"/>
          <w:sz w:val="22"/>
          <w:szCs w:val="22"/>
        </w:rPr>
        <w:fldChar w:fldCharType="begin"/>
      </w:r>
      <w:r w:rsidR="00C52E1A" w:rsidRPr="008C3073">
        <w:rPr>
          <w:rFonts w:ascii="Arial" w:eastAsia="Times New Roman" w:hAnsi="Arial" w:cs="Arial"/>
          <w:sz w:val="22"/>
          <w:szCs w:val="22"/>
        </w:rPr>
        <w:instrText xml:space="preserve"> ADDIN EN.REFLIST </w:instrText>
      </w:r>
      <w:r w:rsidR="00C52E1A" w:rsidRPr="008C3073">
        <w:rPr>
          <w:rFonts w:ascii="Arial" w:eastAsia="Times New Roman" w:hAnsi="Arial" w:cs="Arial"/>
          <w:sz w:val="22"/>
          <w:szCs w:val="22"/>
        </w:rPr>
        <w:fldChar w:fldCharType="separate"/>
      </w:r>
      <w:r w:rsidR="00C52E1A" w:rsidRPr="00C52E1A">
        <w:rPr>
          <w:rFonts w:ascii="Arial" w:eastAsia="Times New Roman" w:hAnsi="Arial" w:cs="Arial"/>
          <w:sz w:val="22"/>
          <w:szCs w:val="22"/>
        </w:rPr>
        <w:t>Serra S, Horenstein AL, Vaisitti T, Brusa D, Rossi D, Laurenti L, D'Arena G, Coscia M, Tripodo C, Inghirami G, et al. CD73-generated extracellular adenosine in chronic lymphocytic leukemia creates local conditions counteracting drug-induced cell death. Blood. 2011;118(23):6141-52.</w:t>
      </w:r>
    </w:p>
    <w:p w14:paraId="7533E6A8" w14:textId="13E1F687" w:rsidR="00C52E1A" w:rsidRPr="003D61EE" w:rsidRDefault="00C52E1A" w:rsidP="00C52E1A">
      <w:pPr>
        <w:pStyle w:val="Nessunaspaziatura"/>
        <w:ind w:left="360" w:hanging="360"/>
        <w:jc w:val="both"/>
        <w:rPr>
          <w:rFonts w:cs="Arial"/>
          <w:szCs w:val="22"/>
        </w:rPr>
      </w:pPr>
      <w:r w:rsidRPr="008C3073">
        <w:rPr>
          <w:rFonts w:cs="Arial"/>
          <w:szCs w:val="22"/>
        </w:rPr>
        <w:fldChar w:fldCharType="end"/>
      </w:r>
    </w:p>
    <w:p w14:paraId="597CE6AE" w14:textId="74E7BCF7" w:rsidR="009F53BB" w:rsidRDefault="003D61EE" w:rsidP="00DD4C78">
      <w:pPr>
        <w:pStyle w:val="Nessunaspaziatura"/>
        <w:ind w:left="360" w:hanging="360"/>
        <w:jc w:val="both"/>
        <w:rPr>
          <w:rFonts w:cs="Arial"/>
          <w:szCs w:val="22"/>
        </w:rPr>
      </w:pPr>
      <w:r w:rsidRPr="003D61EE">
        <w:rPr>
          <w:rFonts w:cs="Arial"/>
          <w:szCs w:val="22"/>
        </w:rPr>
        <w:fldChar w:fldCharType="end"/>
      </w:r>
    </w:p>
    <w:p w14:paraId="294964CF" w14:textId="3E27F31A" w:rsidR="00DF47A3" w:rsidRDefault="00264E61" w:rsidP="00DD4C78">
      <w:pPr>
        <w:pStyle w:val="Nessunaspaziatura"/>
        <w:ind w:left="360" w:hanging="360"/>
        <w:jc w:val="both"/>
        <w:rPr>
          <w:rFonts w:cs="Arial"/>
          <w:szCs w:val="22"/>
        </w:rPr>
      </w:pPr>
      <w:r>
        <w:rPr>
          <w:rFonts w:cs="Arial"/>
          <w:szCs w:val="22"/>
        </w:rPr>
        <w:t>3</w:t>
      </w:r>
      <w:r w:rsidR="009F53BB">
        <w:rPr>
          <w:rFonts w:cs="Arial"/>
          <w:szCs w:val="22"/>
        </w:rPr>
        <w:t>.</w:t>
      </w:r>
      <w:r w:rsidR="009F53BB">
        <w:rPr>
          <w:rFonts w:cs="Arial"/>
          <w:szCs w:val="22"/>
        </w:rPr>
        <w:tab/>
        <w:t>Identification of the role of CD38 in the chronic lymphocytic leukemia niche. Clinical observations indicate that CD38 may be expressed by a subset of CLL patients, generally those with an inferior clinical outcome. We built on this observat</w:t>
      </w:r>
      <w:r w:rsidR="00E62577">
        <w:rPr>
          <w:rFonts w:cs="Arial"/>
          <w:szCs w:val="22"/>
        </w:rPr>
        <w:t>ion, identifying CD</w:t>
      </w:r>
      <w:r w:rsidR="009F53BB">
        <w:rPr>
          <w:rFonts w:cs="Arial"/>
          <w:szCs w:val="22"/>
        </w:rPr>
        <w:t xml:space="preserve">38 as a critical “molecular drift”, guiding CLL cells from the blood to privileged niches within the lymph nodes and the bone marrow. We then used and enzymatically dead CD38 mutant to show that its enzymatic activities </w:t>
      </w:r>
      <w:r w:rsidR="00E62577">
        <w:rPr>
          <w:rFonts w:cs="Arial"/>
          <w:szCs w:val="22"/>
        </w:rPr>
        <w:t>lead to the production of second messengers that increase cytoplasmic Ca</w:t>
      </w:r>
      <w:r w:rsidR="00E62577" w:rsidRPr="00DF47A3">
        <w:rPr>
          <w:rFonts w:cs="Arial"/>
          <w:szCs w:val="22"/>
          <w:vertAlign w:val="superscript"/>
        </w:rPr>
        <w:t>2+</w:t>
      </w:r>
      <w:r w:rsidR="00E62577">
        <w:rPr>
          <w:rFonts w:cs="Arial"/>
          <w:szCs w:val="22"/>
        </w:rPr>
        <w:t xml:space="preserve"> levels, facilitating signals regulating cell movement.</w:t>
      </w:r>
      <w:r w:rsidR="00DF47A3">
        <w:rPr>
          <w:rFonts w:cs="Arial"/>
          <w:szCs w:val="22"/>
        </w:rPr>
        <w:t xml:space="preserve"> Most relevant publications:</w:t>
      </w:r>
    </w:p>
    <w:p w14:paraId="700AFC74" w14:textId="77777777" w:rsidR="00C52E1A" w:rsidRDefault="00C52E1A" w:rsidP="00DD4C78">
      <w:pPr>
        <w:pStyle w:val="Nessunaspaziatura"/>
        <w:ind w:left="360" w:hanging="360"/>
        <w:jc w:val="both"/>
        <w:rPr>
          <w:rFonts w:cs="Arial"/>
          <w:szCs w:val="22"/>
        </w:rPr>
      </w:pPr>
    </w:p>
    <w:p w14:paraId="074107D3" w14:textId="03ED3FF9" w:rsidR="003D61EE" w:rsidRPr="003D61EE" w:rsidRDefault="003D61EE" w:rsidP="00C52E1A">
      <w:pPr>
        <w:pStyle w:val="EndNoteBibliography"/>
        <w:ind w:left="720" w:hanging="720"/>
        <w:jc w:val="both"/>
        <w:rPr>
          <w:rFonts w:ascii="Arial" w:eastAsia="Times New Roman" w:hAnsi="Arial" w:cs="Arial"/>
          <w:sz w:val="22"/>
          <w:szCs w:val="22"/>
        </w:rPr>
      </w:pPr>
      <w:r w:rsidRPr="008B6BB7">
        <w:rPr>
          <w:rFonts w:ascii="Arial" w:eastAsia="Times New Roman" w:hAnsi="Arial" w:cs="Arial"/>
          <w:sz w:val="22"/>
          <w:szCs w:val="22"/>
        </w:rPr>
        <w:fldChar w:fldCharType="begin"/>
      </w:r>
      <w:r w:rsidRPr="003D61EE">
        <w:rPr>
          <w:rFonts w:ascii="Arial" w:eastAsia="Times New Roman" w:hAnsi="Arial" w:cs="Arial"/>
          <w:sz w:val="22"/>
          <w:szCs w:val="22"/>
        </w:rPr>
        <w:instrText xml:space="preserve"> ADDIN EN.REFLIST </w:instrText>
      </w:r>
      <w:r w:rsidRPr="008B6BB7">
        <w:rPr>
          <w:rFonts w:ascii="Arial" w:eastAsia="Times New Roman" w:hAnsi="Arial" w:cs="Arial"/>
          <w:sz w:val="22"/>
          <w:szCs w:val="22"/>
        </w:rPr>
        <w:fldChar w:fldCharType="separate"/>
      </w:r>
      <w:r w:rsidR="00264E61">
        <w:rPr>
          <w:rFonts w:ascii="Arial" w:eastAsia="Times New Roman" w:hAnsi="Arial" w:cs="Arial"/>
          <w:sz w:val="22"/>
          <w:szCs w:val="22"/>
        </w:rPr>
        <w:t>a</w:t>
      </w:r>
      <w:r w:rsidRPr="003D61EE">
        <w:rPr>
          <w:rFonts w:ascii="Arial" w:eastAsia="Times New Roman" w:hAnsi="Arial" w:cs="Arial"/>
          <w:sz w:val="22"/>
          <w:szCs w:val="22"/>
        </w:rPr>
        <w:t>.</w:t>
      </w:r>
      <w:r w:rsidRPr="003D61EE">
        <w:rPr>
          <w:rFonts w:ascii="Arial" w:eastAsia="Times New Roman" w:hAnsi="Arial" w:cs="Arial"/>
          <w:sz w:val="22"/>
          <w:szCs w:val="22"/>
        </w:rPr>
        <w:tab/>
        <w:t>Deaglio S, Capobianco A, Bergui L, Durig J, Morabito F, Duhrsen U, and Malavasi F. CD38 is a signaling molecule in B-cell chronic lymphocytic leukemia cells. Blood. 2003;102(6):2146-55.</w:t>
      </w:r>
      <w:r w:rsidRPr="003D61EE">
        <w:rPr>
          <w:rFonts w:ascii="Arial" w:eastAsia="Times New Roman" w:hAnsi="Arial" w:cs="Arial"/>
          <w:sz w:val="22"/>
          <w:szCs w:val="22"/>
        </w:rPr>
        <w:tab/>
      </w:r>
    </w:p>
    <w:p w14:paraId="6AA11881" w14:textId="27212A4A" w:rsidR="003D61EE" w:rsidRPr="003D61EE" w:rsidRDefault="00264E61" w:rsidP="00C52E1A">
      <w:pPr>
        <w:pStyle w:val="EndNoteBibliography"/>
        <w:ind w:left="720" w:hanging="720"/>
        <w:jc w:val="both"/>
        <w:rPr>
          <w:rFonts w:ascii="Arial" w:eastAsia="Times New Roman" w:hAnsi="Arial" w:cs="Arial"/>
          <w:sz w:val="22"/>
          <w:szCs w:val="22"/>
        </w:rPr>
      </w:pPr>
      <w:r>
        <w:rPr>
          <w:rFonts w:ascii="Arial" w:eastAsia="Times New Roman" w:hAnsi="Arial" w:cs="Arial"/>
          <w:sz w:val="22"/>
          <w:szCs w:val="22"/>
        </w:rPr>
        <w:t>b</w:t>
      </w:r>
      <w:r w:rsidR="003D61EE" w:rsidRPr="003D61EE">
        <w:rPr>
          <w:rFonts w:ascii="Arial" w:eastAsia="Times New Roman" w:hAnsi="Arial" w:cs="Arial"/>
          <w:sz w:val="22"/>
          <w:szCs w:val="22"/>
        </w:rPr>
        <w:t>.</w:t>
      </w:r>
      <w:r w:rsidR="003D61EE" w:rsidRPr="003D61EE">
        <w:rPr>
          <w:rFonts w:ascii="Arial" w:eastAsia="Times New Roman" w:hAnsi="Arial" w:cs="Arial"/>
          <w:sz w:val="22"/>
          <w:szCs w:val="22"/>
        </w:rPr>
        <w:tab/>
        <w:t>Deaglio S, Vaisitti T, Aydin S, Bergui L, D'Arena G, Bonello L, Omede P, Scatolini M, Jaksic O, Chiorino G, et al. CD38 and ZAP-70 are functionally linked and mark CLL cells with high migratory potential. Blood. 2007;110(12):4012-21.</w:t>
      </w:r>
      <w:r w:rsidR="003D61EE" w:rsidRPr="003D61EE">
        <w:rPr>
          <w:rFonts w:ascii="Arial" w:eastAsia="Times New Roman" w:hAnsi="Arial" w:cs="Arial"/>
          <w:sz w:val="22"/>
          <w:szCs w:val="22"/>
        </w:rPr>
        <w:tab/>
      </w:r>
    </w:p>
    <w:p w14:paraId="117F2909" w14:textId="0A8F8001" w:rsidR="003D61EE" w:rsidRPr="003D61EE" w:rsidRDefault="00264E61" w:rsidP="00C52E1A">
      <w:pPr>
        <w:pStyle w:val="EndNoteBibliography"/>
        <w:ind w:left="720" w:hanging="720"/>
        <w:jc w:val="both"/>
        <w:rPr>
          <w:rFonts w:ascii="Arial" w:eastAsia="Times New Roman" w:hAnsi="Arial" w:cs="Arial"/>
          <w:sz w:val="22"/>
          <w:szCs w:val="22"/>
        </w:rPr>
      </w:pPr>
      <w:r>
        <w:rPr>
          <w:rFonts w:ascii="Arial" w:eastAsia="Times New Roman" w:hAnsi="Arial" w:cs="Arial"/>
          <w:sz w:val="22"/>
          <w:szCs w:val="22"/>
        </w:rPr>
        <w:t>c</w:t>
      </w:r>
      <w:r w:rsidR="003D61EE" w:rsidRPr="003D61EE">
        <w:rPr>
          <w:rFonts w:ascii="Arial" w:eastAsia="Times New Roman" w:hAnsi="Arial" w:cs="Arial"/>
          <w:sz w:val="22"/>
          <w:szCs w:val="22"/>
        </w:rPr>
        <w:t>.</w:t>
      </w:r>
      <w:r w:rsidR="003D61EE" w:rsidRPr="003D61EE">
        <w:rPr>
          <w:rFonts w:ascii="Arial" w:eastAsia="Times New Roman" w:hAnsi="Arial" w:cs="Arial"/>
          <w:sz w:val="22"/>
          <w:szCs w:val="22"/>
        </w:rPr>
        <w:tab/>
        <w:t>Vaisitti T, Aydin S, Rossi D, Cottino F, Bergui L, D'Arena G, Bonello L, Horenstein AL, Brennan P, Pepper C, et al. CD38 increases CXCL12-mediated signals and homing of chronic lymphocytic leukemia cells. Leukemia. 2010;24(5):958-69.</w:t>
      </w:r>
    </w:p>
    <w:p w14:paraId="5655FC02" w14:textId="1486CFC7" w:rsidR="003D61EE" w:rsidRDefault="00264E61" w:rsidP="00DD4C78">
      <w:pPr>
        <w:pStyle w:val="EndNoteBibliography"/>
        <w:ind w:left="720" w:hanging="720"/>
        <w:jc w:val="both"/>
        <w:rPr>
          <w:rFonts w:ascii="Arial" w:eastAsia="Times New Roman" w:hAnsi="Arial" w:cs="Arial"/>
          <w:sz w:val="22"/>
          <w:szCs w:val="22"/>
        </w:rPr>
      </w:pPr>
      <w:r>
        <w:rPr>
          <w:rFonts w:ascii="Arial" w:eastAsia="Times New Roman" w:hAnsi="Arial" w:cs="Arial"/>
          <w:sz w:val="22"/>
          <w:szCs w:val="22"/>
        </w:rPr>
        <w:t>d</w:t>
      </w:r>
      <w:r w:rsidR="003D61EE" w:rsidRPr="003D61EE">
        <w:rPr>
          <w:rFonts w:ascii="Arial" w:eastAsia="Times New Roman" w:hAnsi="Arial" w:cs="Arial"/>
          <w:sz w:val="22"/>
          <w:szCs w:val="22"/>
        </w:rPr>
        <w:t>.</w:t>
      </w:r>
      <w:r w:rsidR="003D61EE" w:rsidRPr="003D61EE">
        <w:rPr>
          <w:rFonts w:ascii="Arial" w:eastAsia="Times New Roman" w:hAnsi="Arial" w:cs="Arial"/>
          <w:sz w:val="22"/>
          <w:szCs w:val="22"/>
        </w:rPr>
        <w:tab/>
        <w:t>Vaisitti T, Audrito V, Serra S, Buonincontri R, Sociali G, Mannino E, Pagnani A, Zucchetto A, Tissino E, Vitale C, et al. The enzymatic activities of CD38 enhance CLL growth and trafficking: implications for therapeutic targeting. Leukemia. 2015;29(2):356-68.</w:t>
      </w:r>
    </w:p>
    <w:p w14:paraId="3BB1CC57" w14:textId="77777777" w:rsidR="003D61EE" w:rsidRPr="008B6BB7" w:rsidRDefault="003D61EE" w:rsidP="008B6BB7">
      <w:pPr>
        <w:pStyle w:val="EndNoteBibliography"/>
        <w:ind w:left="720" w:hanging="720"/>
        <w:jc w:val="both"/>
        <w:rPr>
          <w:rFonts w:ascii="Arial" w:eastAsia="Times New Roman" w:hAnsi="Arial" w:cs="Arial"/>
          <w:sz w:val="22"/>
          <w:szCs w:val="22"/>
        </w:rPr>
      </w:pPr>
      <w:r w:rsidRPr="008B6BB7">
        <w:rPr>
          <w:rFonts w:ascii="Arial" w:eastAsia="Times New Roman" w:hAnsi="Arial" w:cs="Arial"/>
          <w:sz w:val="22"/>
          <w:szCs w:val="22"/>
        </w:rPr>
        <w:fldChar w:fldCharType="end"/>
      </w:r>
    </w:p>
    <w:p w14:paraId="34FB6A51" w14:textId="77777777" w:rsidR="00E62577" w:rsidRDefault="00E62577" w:rsidP="00DD4C78">
      <w:pPr>
        <w:pStyle w:val="Nessunaspaziatura"/>
        <w:jc w:val="both"/>
        <w:rPr>
          <w:rFonts w:cs="Arial"/>
          <w:szCs w:val="22"/>
        </w:rPr>
      </w:pPr>
    </w:p>
    <w:p w14:paraId="2C2A6C9C" w14:textId="620E4C52" w:rsidR="00E62577" w:rsidRDefault="00264E61" w:rsidP="00DD4C78">
      <w:pPr>
        <w:pStyle w:val="Nessunaspaziatura"/>
        <w:ind w:left="360" w:hanging="360"/>
        <w:jc w:val="both"/>
        <w:rPr>
          <w:rFonts w:cs="Arial"/>
          <w:szCs w:val="22"/>
        </w:rPr>
      </w:pPr>
      <w:r>
        <w:rPr>
          <w:rFonts w:cs="Arial"/>
          <w:szCs w:val="22"/>
        </w:rPr>
        <w:t>4</w:t>
      </w:r>
      <w:r w:rsidR="00E62577">
        <w:rPr>
          <w:rFonts w:cs="Arial"/>
          <w:szCs w:val="22"/>
        </w:rPr>
        <w:t>.</w:t>
      </w:r>
      <w:r w:rsidR="00E62577">
        <w:rPr>
          <w:rFonts w:cs="Arial"/>
          <w:szCs w:val="22"/>
        </w:rPr>
        <w:tab/>
        <w:t xml:space="preserve">Identification of the role of the NAD-biosynthetic enzyme </w:t>
      </w:r>
      <w:proofErr w:type="spellStart"/>
      <w:r w:rsidR="00E62577">
        <w:rPr>
          <w:rFonts w:cs="Arial"/>
          <w:szCs w:val="22"/>
        </w:rPr>
        <w:t>nicotinamide</w:t>
      </w:r>
      <w:proofErr w:type="spellEnd"/>
      <w:r w:rsidR="00E62577">
        <w:rPr>
          <w:rFonts w:cs="Arial"/>
          <w:szCs w:val="22"/>
        </w:rPr>
        <w:t xml:space="preserve"> </w:t>
      </w:r>
      <w:proofErr w:type="spellStart"/>
      <w:r w:rsidR="00E62577">
        <w:rPr>
          <w:rFonts w:cs="Arial"/>
          <w:szCs w:val="22"/>
        </w:rPr>
        <w:t>phosphorybosyl</w:t>
      </w:r>
      <w:proofErr w:type="spellEnd"/>
      <w:r w:rsidR="00E62577">
        <w:rPr>
          <w:rFonts w:cs="Arial"/>
          <w:szCs w:val="22"/>
        </w:rPr>
        <w:t xml:space="preserve"> </w:t>
      </w:r>
      <w:proofErr w:type="spellStart"/>
      <w:r w:rsidR="00E62577">
        <w:rPr>
          <w:rFonts w:cs="Arial"/>
          <w:szCs w:val="22"/>
        </w:rPr>
        <w:t>transferase</w:t>
      </w:r>
      <w:proofErr w:type="spellEnd"/>
      <w:r w:rsidR="00E62577">
        <w:rPr>
          <w:rFonts w:cs="Arial"/>
          <w:szCs w:val="22"/>
        </w:rPr>
        <w:t xml:space="preserve"> (NAMPT), also known as </w:t>
      </w:r>
      <w:proofErr w:type="spellStart"/>
      <w:r w:rsidR="00E62577">
        <w:rPr>
          <w:rFonts w:cs="Arial"/>
          <w:szCs w:val="22"/>
        </w:rPr>
        <w:t>visfatin</w:t>
      </w:r>
      <w:proofErr w:type="spellEnd"/>
      <w:r w:rsidR="00E62577">
        <w:rPr>
          <w:rFonts w:cs="Arial"/>
          <w:szCs w:val="22"/>
        </w:rPr>
        <w:t xml:space="preserve"> or pre-B colony enhancing factor (PBEF) in the tumor microenvironment. Our data indicate that NAMPT is secreted in the extracellular compartment by activated tumor cells. Here, NAMPT induces differentiation of monocytes into alt</w:t>
      </w:r>
      <w:r w:rsidR="00117611">
        <w:rPr>
          <w:rFonts w:cs="Arial"/>
          <w:szCs w:val="22"/>
        </w:rPr>
        <w:t>ernatively activated monocytes, which then skew T cell responses and promote leukemic growth.</w:t>
      </w:r>
    </w:p>
    <w:p w14:paraId="11D2DA93" w14:textId="6DB75631" w:rsidR="003D61EE" w:rsidRPr="003D61EE" w:rsidRDefault="00264E61" w:rsidP="00DD4C78">
      <w:pPr>
        <w:pStyle w:val="EndNoteBibliography"/>
        <w:ind w:left="720" w:hanging="720"/>
        <w:jc w:val="both"/>
        <w:rPr>
          <w:rFonts w:ascii="Arial" w:eastAsia="Times New Roman" w:hAnsi="Arial" w:cs="Arial"/>
          <w:sz w:val="22"/>
          <w:szCs w:val="22"/>
        </w:rPr>
      </w:pPr>
      <w:r>
        <w:rPr>
          <w:noProof/>
        </w:rPr>
        <w:t>a</w:t>
      </w:r>
      <w:r w:rsidR="003D61EE" w:rsidRPr="00AC3055">
        <w:rPr>
          <w:noProof/>
        </w:rPr>
        <w:t>.</w:t>
      </w:r>
      <w:r w:rsidR="003D61EE" w:rsidRPr="00AC3055">
        <w:rPr>
          <w:noProof/>
        </w:rPr>
        <w:tab/>
      </w:r>
      <w:proofErr w:type="spellStart"/>
      <w:r w:rsidR="003D61EE" w:rsidRPr="003D61EE">
        <w:rPr>
          <w:rFonts w:ascii="Arial" w:eastAsia="Times New Roman" w:hAnsi="Arial" w:cs="Arial"/>
          <w:sz w:val="22"/>
          <w:szCs w:val="22"/>
        </w:rPr>
        <w:t>Audrito</w:t>
      </w:r>
      <w:proofErr w:type="spellEnd"/>
      <w:r w:rsidR="003D61EE" w:rsidRPr="003D61EE">
        <w:rPr>
          <w:rFonts w:ascii="Arial" w:eastAsia="Times New Roman" w:hAnsi="Arial" w:cs="Arial"/>
          <w:sz w:val="22"/>
          <w:szCs w:val="22"/>
        </w:rPr>
        <w:t xml:space="preserve"> V, </w:t>
      </w:r>
      <w:proofErr w:type="spellStart"/>
      <w:r w:rsidR="003D61EE" w:rsidRPr="003D61EE">
        <w:rPr>
          <w:rFonts w:ascii="Arial" w:eastAsia="Times New Roman" w:hAnsi="Arial" w:cs="Arial"/>
          <w:sz w:val="22"/>
          <w:szCs w:val="22"/>
        </w:rPr>
        <w:t>Vaisitti</w:t>
      </w:r>
      <w:proofErr w:type="spellEnd"/>
      <w:r w:rsidR="003D61EE" w:rsidRPr="003D61EE">
        <w:rPr>
          <w:rFonts w:ascii="Arial" w:eastAsia="Times New Roman" w:hAnsi="Arial" w:cs="Arial"/>
          <w:sz w:val="22"/>
          <w:szCs w:val="22"/>
        </w:rPr>
        <w:t xml:space="preserve"> T, Rossi D, </w:t>
      </w:r>
      <w:proofErr w:type="spellStart"/>
      <w:r w:rsidR="003D61EE" w:rsidRPr="003D61EE">
        <w:rPr>
          <w:rFonts w:ascii="Arial" w:eastAsia="Times New Roman" w:hAnsi="Arial" w:cs="Arial"/>
          <w:sz w:val="22"/>
          <w:szCs w:val="22"/>
        </w:rPr>
        <w:t>Gottardi</w:t>
      </w:r>
      <w:proofErr w:type="spellEnd"/>
      <w:r w:rsidR="003D61EE" w:rsidRPr="003D61EE">
        <w:rPr>
          <w:rFonts w:ascii="Arial" w:eastAsia="Times New Roman" w:hAnsi="Arial" w:cs="Arial"/>
          <w:sz w:val="22"/>
          <w:szCs w:val="22"/>
        </w:rPr>
        <w:t xml:space="preserve"> D, </w:t>
      </w:r>
      <w:proofErr w:type="spellStart"/>
      <w:r w:rsidR="003D61EE" w:rsidRPr="003D61EE">
        <w:rPr>
          <w:rFonts w:ascii="Arial" w:eastAsia="Times New Roman" w:hAnsi="Arial" w:cs="Arial"/>
          <w:sz w:val="22"/>
          <w:szCs w:val="22"/>
        </w:rPr>
        <w:t>D'Arena</w:t>
      </w:r>
      <w:proofErr w:type="spellEnd"/>
      <w:r w:rsidR="003D61EE" w:rsidRPr="003D61EE">
        <w:rPr>
          <w:rFonts w:ascii="Arial" w:eastAsia="Times New Roman" w:hAnsi="Arial" w:cs="Arial"/>
          <w:sz w:val="22"/>
          <w:szCs w:val="22"/>
        </w:rPr>
        <w:t xml:space="preserve"> G, </w:t>
      </w:r>
      <w:proofErr w:type="spellStart"/>
      <w:r w:rsidR="003D61EE" w:rsidRPr="003D61EE">
        <w:rPr>
          <w:rFonts w:ascii="Arial" w:eastAsia="Times New Roman" w:hAnsi="Arial" w:cs="Arial"/>
          <w:sz w:val="22"/>
          <w:szCs w:val="22"/>
        </w:rPr>
        <w:t>Laurenti</w:t>
      </w:r>
      <w:proofErr w:type="spellEnd"/>
      <w:r w:rsidR="003D61EE" w:rsidRPr="003D61EE">
        <w:rPr>
          <w:rFonts w:ascii="Arial" w:eastAsia="Times New Roman" w:hAnsi="Arial" w:cs="Arial"/>
          <w:sz w:val="22"/>
          <w:szCs w:val="22"/>
        </w:rPr>
        <w:t xml:space="preserve"> L, </w:t>
      </w:r>
      <w:proofErr w:type="spellStart"/>
      <w:r w:rsidR="003D61EE" w:rsidRPr="003D61EE">
        <w:rPr>
          <w:rFonts w:ascii="Arial" w:eastAsia="Times New Roman" w:hAnsi="Arial" w:cs="Arial"/>
          <w:sz w:val="22"/>
          <w:szCs w:val="22"/>
        </w:rPr>
        <w:t>Gaidano</w:t>
      </w:r>
      <w:proofErr w:type="spellEnd"/>
      <w:r w:rsidR="003D61EE" w:rsidRPr="003D61EE">
        <w:rPr>
          <w:rFonts w:ascii="Arial" w:eastAsia="Times New Roman" w:hAnsi="Arial" w:cs="Arial"/>
          <w:sz w:val="22"/>
          <w:szCs w:val="22"/>
        </w:rPr>
        <w:t xml:space="preserve"> G, </w:t>
      </w:r>
      <w:proofErr w:type="spellStart"/>
      <w:r w:rsidR="003D61EE" w:rsidRPr="003D61EE">
        <w:rPr>
          <w:rFonts w:ascii="Arial" w:eastAsia="Times New Roman" w:hAnsi="Arial" w:cs="Arial"/>
          <w:sz w:val="22"/>
          <w:szCs w:val="22"/>
        </w:rPr>
        <w:t>Malavasi</w:t>
      </w:r>
      <w:proofErr w:type="spellEnd"/>
      <w:r w:rsidR="003D61EE" w:rsidRPr="003D61EE">
        <w:rPr>
          <w:rFonts w:ascii="Arial" w:eastAsia="Times New Roman" w:hAnsi="Arial" w:cs="Arial"/>
          <w:sz w:val="22"/>
          <w:szCs w:val="22"/>
        </w:rPr>
        <w:t xml:space="preserve"> F, and Deaglio S. </w:t>
      </w:r>
      <w:proofErr w:type="spellStart"/>
      <w:r w:rsidR="003D61EE" w:rsidRPr="003D61EE">
        <w:rPr>
          <w:rFonts w:ascii="Arial" w:eastAsia="Times New Roman" w:hAnsi="Arial" w:cs="Arial"/>
          <w:sz w:val="22"/>
          <w:szCs w:val="22"/>
        </w:rPr>
        <w:t>Nicotinamide</w:t>
      </w:r>
      <w:proofErr w:type="spellEnd"/>
      <w:r w:rsidR="003D61EE" w:rsidRPr="003D61EE">
        <w:rPr>
          <w:rFonts w:ascii="Arial" w:eastAsia="Times New Roman" w:hAnsi="Arial" w:cs="Arial"/>
          <w:sz w:val="22"/>
          <w:szCs w:val="22"/>
        </w:rPr>
        <w:t xml:space="preserve"> blocks proliferation and induces apoptosis of chronic lymphocytic leukemia cells through activation of the p53/miR-34a/SIRT1 tumor suppressor network. Cancer research. 2011</w:t>
      </w:r>
      <w:proofErr w:type="gramStart"/>
      <w:r w:rsidR="003D61EE" w:rsidRPr="003D61EE">
        <w:rPr>
          <w:rFonts w:ascii="Arial" w:eastAsia="Times New Roman" w:hAnsi="Arial" w:cs="Arial"/>
          <w:sz w:val="22"/>
          <w:szCs w:val="22"/>
        </w:rPr>
        <w:t>;71</w:t>
      </w:r>
      <w:proofErr w:type="gramEnd"/>
      <w:r w:rsidR="003D61EE" w:rsidRPr="003D61EE">
        <w:rPr>
          <w:rFonts w:ascii="Arial" w:eastAsia="Times New Roman" w:hAnsi="Arial" w:cs="Arial"/>
          <w:sz w:val="22"/>
          <w:szCs w:val="22"/>
        </w:rPr>
        <w:t>(13):4473-83.</w:t>
      </w:r>
    </w:p>
    <w:p w14:paraId="6117EB27" w14:textId="1F114033" w:rsidR="003D61EE" w:rsidRPr="003D61EE" w:rsidRDefault="00264E61" w:rsidP="00DD4C78">
      <w:pPr>
        <w:pStyle w:val="EndNoteBibliography"/>
        <w:ind w:left="720" w:hanging="720"/>
        <w:jc w:val="both"/>
        <w:rPr>
          <w:rFonts w:ascii="Arial" w:eastAsia="Times New Roman" w:hAnsi="Arial" w:cs="Arial"/>
          <w:sz w:val="22"/>
          <w:szCs w:val="22"/>
        </w:rPr>
      </w:pPr>
      <w:r>
        <w:rPr>
          <w:rFonts w:ascii="Arial" w:eastAsia="Times New Roman" w:hAnsi="Arial" w:cs="Arial"/>
          <w:sz w:val="22"/>
          <w:szCs w:val="22"/>
        </w:rPr>
        <w:t>b</w:t>
      </w:r>
      <w:r w:rsidR="003D61EE" w:rsidRPr="003D61EE">
        <w:rPr>
          <w:rFonts w:ascii="Arial" w:eastAsia="Times New Roman" w:hAnsi="Arial" w:cs="Arial"/>
          <w:sz w:val="22"/>
          <w:szCs w:val="22"/>
        </w:rPr>
        <w:t>.</w:t>
      </w:r>
      <w:r w:rsidR="003D61EE" w:rsidRPr="003D61EE">
        <w:rPr>
          <w:rFonts w:ascii="Arial" w:eastAsia="Times New Roman" w:hAnsi="Arial" w:cs="Arial"/>
          <w:sz w:val="22"/>
          <w:szCs w:val="22"/>
        </w:rPr>
        <w:tab/>
      </w:r>
      <w:proofErr w:type="spellStart"/>
      <w:r w:rsidR="003D61EE" w:rsidRPr="003D61EE">
        <w:rPr>
          <w:rFonts w:ascii="Arial" w:eastAsia="Times New Roman" w:hAnsi="Arial" w:cs="Arial"/>
          <w:sz w:val="22"/>
          <w:szCs w:val="22"/>
        </w:rPr>
        <w:t>Audrito</w:t>
      </w:r>
      <w:proofErr w:type="spellEnd"/>
      <w:r w:rsidR="003D61EE" w:rsidRPr="003D61EE">
        <w:rPr>
          <w:rFonts w:ascii="Arial" w:eastAsia="Times New Roman" w:hAnsi="Arial" w:cs="Arial"/>
          <w:sz w:val="22"/>
          <w:szCs w:val="22"/>
        </w:rPr>
        <w:t xml:space="preserve"> V, Serra S, </w:t>
      </w:r>
      <w:proofErr w:type="spellStart"/>
      <w:r w:rsidR="003D61EE" w:rsidRPr="003D61EE">
        <w:rPr>
          <w:rFonts w:ascii="Arial" w:eastAsia="Times New Roman" w:hAnsi="Arial" w:cs="Arial"/>
          <w:sz w:val="22"/>
          <w:szCs w:val="22"/>
        </w:rPr>
        <w:t>Brusa</w:t>
      </w:r>
      <w:proofErr w:type="spellEnd"/>
      <w:r w:rsidR="003D61EE" w:rsidRPr="003D61EE">
        <w:rPr>
          <w:rFonts w:ascii="Arial" w:eastAsia="Times New Roman" w:hAnsi="Arial" w:cs="Arial"/>
          <w:sz w:val="22"/>
          <w:szCs w:val="22"/>
        </w:rPr>
        <w:t xml:space="preserve"> D, </w:t>
      </w:r>
      <w:proofErr w:type="spellStart"/>
      <w:r w:rsidR="003D61EE" w:rsidRPr="003D61EE">
        <w:rPr>
          <w:rFonts w:ascii="Arial" w:eastAsia="Times New Roman" w:hAnsi="Arial" w:cs="Arial"/>
          <w:sz w:val="22"/>
          <w:szCs w:val="22"/>
        </w:rPr>
        <w:t>Mazzola</w:t>
      </w:r>
      <w:proofErr w:type="spellEnd"/>
      <w:r w:rsidR="003D61EE" w:rsidRPr="003D61EE">
        <w:rPr>
          <w:rFonts w:ascii="Arial" w:eastAsia="Times New Roman" w:hAnsi="Arial" w:cs="Arial"/>
          <w:sz w:val="22"/>
          <w:szCs w:val="22"/>
        </w:rPr>
        <w:t xml:space="preserve"> F, </w:t>
      </w:r>
      <w:proofErr w:type="spellStart"/>
      <w:r w:rsidR="003D61EE" w:rsidRPr="003D61EE">
        <w:rPr>
          <w:rFonts w:ascii="Arial" w:eastAsia="Times New Roman" w:hAnsi="Arial" w:cs="Arial"/>
          <w:sz w:val="22"/>
          <w:szCs w:val="22"/>
        </w:rPr>
        <w:t>Arruga</w:t>
      </w:r>
      <w:proofErr w:type="spellEnd"/>
      <w:r w:rsidR="003D61EE" w:rsidRPr="003D61EE">
        <w:rPr>
          <w:rFonts w:ascii="Arial" w:eastAsia="Times New Roman" w:hAnsi="Arial" w:cs="Arial"/>
          <w:sz w:val="22"/>
          <w:szCs w:val="22"/>
        </w:rPr>
        <w:t xml:space="preserve"> F, </w:t>
      </w:r>
      <w:proofErr w:type="spellStart"/>
      <w:r w:rsidR="003D61EE" w:rsidRPr="003D61EE">
        <w:rPr>
          <w:rFonts w:ascii="Arial" w:eastAsia="Times New Roman" w:hAnsi="Arial" w:cs="Arial"/>
          <w:sz w:val="22"/>
          <w:szCs w:val="22"/>
        </w:rPr>
        <w:t>Vaisitti</w:t>
      </w:r>
      <w:proofErr w:type="spellEnd"/>
      <w:r w:rsidR="003D61EE" w:rsidRPr="003D61EE">
        <w:rPr>
          <w:rFonts w:ascii="Arial" w:eastAsia="Times New Roman" w:hAnsi="Arial" w:cs="Arial"/>
          <w:sz w:val="22"/>
          <w:szCs w:val="22"/>
        </w:rPr>
        <w:t xml:space="preserve"> T, </w:t>
      </w:r>
      <w:proofErr w:type="spellStart"/>
      <w:r w:rsidR="003D61EE" w:rsidRPr="003D61EE">
        <w:rPr>
          <w:rFonts w:ascii="Arial" w:eastAsia="Times New Roman" w:hAnsi="Arial" w:cs="Arial"/>
          <w:sz w:val="22"/>
          <w:szCs w:val="22"/>
        </w:rPr>
        <w:t>Coscia</w:t>
      </w:r>
      <w:proofErr w:type="spellEnd"/>
      <w:r w:rsidR="003D61EE" w:rsidRPr="003D61EE">
        <w:rPr>
          <w:rFonts w:ascii="Arial" w:eastAsia="Times New Roman" w:hAnsi="Arial" w:cs="Arial"/>
          <w:sz w:val="22"/>
          <w:szCs w:val="22"/>
        </w:rPr>
        <w:t xml:space="preserve"> M, </w:t>
      </w:r>
      <w:proofErr w:type="spellStart"/>
      <w:r w:rsidR="003D61EE" w:rsidRPr="003D61EE">
        <w:rPr>
          <w:rFonts w:ascii="Arial" w:eastAsia="Times New Roman" w:hAnsi="Arial" w:cs="Arial"/>
          <w:sz w:val="22"/>
          <w:szCs w:val="22"/>
        </w:rPr>
        <w:t>Maffei</w:t>
      </w:r>
      <w:proofErr w:type="spellEnd"/>
      <w:r w:rsidR="003D61EE" w:rsidRPr="003D61EE">
        <w:rPr>
          <w:rFonts w:ascii="Arial" w:eastAsia="Times New Roman" w:hAnsi="Arial" w:cs="Arial"/>
          <w:sz w:val="22"/>
          <w:szCs w:val="22"/>
        </w:rPr>
        <w:t xml:space="preserve"> R, Rossi D, Wang T, et al. Extracellular </w:t>
      </w:r>
      <w:proofErr w:type="spellStart"/>
      <w:r w:rsidR="003D61EE" w:rsidRPr="003D61EE">
        <w:rPr>
          <w:rFonts w:ascii="Arial" w:eastAsia="Times New Roman" w:hAnsi="Arial" w:cs="Arial"/>
          <w:sz w:val="22"/>
          <w:szCs w:val="22"/>
        </w:rPr>
        <w:t>nicotinamide</w:t>
      </w:r>
      <w:proofErr w:type="spellEnd"/>
      <w:r w:rsidR="003D61EE" w:rsidRPr="003D61EE">
        <w:rPr>
          <w:rFonts w:ascii="Arial" w:eastAsia="Times New Roman" w:hAnsi="Arial" w:cs="Arial"/>
          <w:sz w:val="22"/>
          <w:szCs w:val="22"/>
        </w:rPr>
        <w:t xml:space="preserve"> </w:t>
      </w:r>
      <w:proofErr w:type="spellStart"/>
      <w:r w:rsidR="003D61EE" w:rsidRPr="003D61EE">
        <w:rPr>
          <w:rFonts w:ascii="Arial" w:eastAsia="Times New Roman" w:hAnsi="Arial" w:cs="Arial"/>
          <w:sz w:val="22"/>
          <w:szCs w:val="22"/>
        </w:rPr>
        <w:t>phosphoribosyltransferase</w:t>
      </w:r>
      <w:proofErr w:type="spellEnd"/>
      <w:r w:rsidR="003D61EE" w:rsidRPr="003D61EE">
        <w:rPr>
          <w:rFonts w:ascii="Arial" w:eastAsia="Times New Roman" w:hAnsi="Arial" w:cs="Arial"/>
          <w:sz w:val="22"/>
          <w:szCs w:val="22"/>
        </w:rPr>
        <w:t xml:space="preserve"> (NAMPT) promotes M2 macrophage polarization in chronic lymphocytic leukemia. Blood. 2015</w:t>
      </w:r>
      <w:proofErr w:type="gramStart"/>
      <w:r w:rsidR="003D61EE" w:rsidRPr="003D61EE">
        <w:rPr>
          <w:rFonts w:ascii="Arial" w:eastAsia="Times New Roman" w:hAnsi="Arial" w:cs="Arial"/>
          <w:sz w:val="22"/>
          <w:szCs w:val="22"/>
        </w:rPr>
        <w:t>;125</w:t>
      </w:r>
      <w:proofErr w:type="gramEnd"/>
      <w:r w:rsidR="003D61EE" w:rsidRPr="003D61EE">
        <w:rPr>
          <w:rFonts w:ascii="Arial" w:eastAsia="Times New Roman" w:hAnsi="Arial" w:cs="Arial"/>
          <w:sz w:val="22"/>
          <w:szCs w:val="22"/>
        </w:rPr>
        <w:t>(1):111-23.</w:t>
      </w:r>
    </w:p>
    <w:p w14:paraId="2F92123F" w14:textId="77777777" w:rsidR="003D61EE" w:rsidRDefault="003D61EE" w:rsidP="00DD4C78">
      <w:pPr>
        <w:pStyle w:val="Nessunaspaziatura"/>
        <w:ind w:left="360" w:hanging="360"/>
        <w:jc w:val="both"/>
        <w:rPr>
          <w:rFonts w:cs="Arial"/>
          <w:szCs w:val="22"/>
        </w:rPr>
      </w:pPr>
    </w:p>
    <w:p w14:paraId="71DEC7F9" w14:textId="77777777" w:rsidR="00117611" w:rsidRDefault="00117611" w:rsidP="00DD4C78">
      <w:pPr>
        <w:pStyle w:val="Nessunaspaziatura"/>
        <w:ind w:left="360" w:hanging="360"/>
        <w:jc w:val="both"/>
        <w:rPr>
          <w:rFonts w:cs="Arial"/>
          <w:szCs w:val="22"/>
        </w:rPr>
      </w:pPr>
    </w:p>
    <w:p w14:paraId="37DB51D4" w14:textId="5A73EBB1" w:rsidR="00DD4C78" w:rsidRDefault="00264E61" w:rsidP="00DD4C78">
      <w:pPr>
        <w:pStyle w:val="Nessunaspaziatura"/>
        <w:ind w:left="360" w:hanging="360"/>
        <w:jc w:val="both"/>
        <w:rPr>
          <w:rFonts w:cs="Arial"/>
          <w:szCs w:val="22"/>
        </w:rPr>
      </w:pPr>
      <w:r>
        <w:rPr>
          <w:rFonts w:cs="Arial"/>
          <w:szCs w:val="22"/>
        </w:rPr>
        <w:t>5</w:t>
      </w:r>
      <w:r w:rsidR="00117611">
        <w:rPr>
          <w:rFonts w:cs="Arial"/>
          <w:szCs w:val="22"/>
        </w:rPr>
        <w:t>.</w:t>
      </w:r>
      <w:r w:rsidR="00117611">
        <w:rPr>
          <w:rFonts w:cs="Arial"/>
          <w:szCs w:val="22"/>
        </w:rPr>
        <w:tab/>
      </w:r>
      <w:r w:rsidR="00DD4C78">
        <w:rPr>
          <w:rFonts w:cs="Arial"/>
          <w:szCs w:val="22"/>
        </w:rPr>
        <w:t>Identification</w:t>
      </w:r>
      <w:r w:rsidR="00117611">
        <w:rPr>
          <w:rFonts w:cs="Arial"/>
          <w:szCs w:val="22"/>
        </w:rPr>
        <w:t xml:space="preserve"> recurrently mutated genes </w:t>
      </w:r>
      <w:r w:rsidR="00DD4C78">
        <w:rPr>
          <w:rFonts w:cs="Arial"/>
          <w:szCs w:val="22"/>
        </w:rPr>
        <w:t xml:space="preserve">in </w:t>
      </w:r>
      <w:proofErr w:type="spellStart"/>
      <w:r w:rsidR="00DD4C78">
        <w:rPr>
          <w:rFonts w:cs="Arial"/>
          <w:szCs w:val="22"/>
        </w:rPr>
        <w:t>fludarabine</w:t>
      </w:r>
      <w:proofErr w:type="spellEnd"/>
      <w:r w:rsidR="00DD4C78">
        <w:rPr>
          <w:rFonts w:cs="Arial"/>
          <w:szCs w:val="22"/>
        </w:rPr>
        <w:t>-resistant CLL cells</w:t>
      </w:r>
      <w:r w:rsidR="00117611">
        <w:rPr>
          <w:rFonts w:cs="Arial"/>
          <w:szCs w:val="22"/>
        </w:rPr>
        <w:t>.</w:t>
      </w:r>
      <w:r w:rsidR="00C52E1A">
        <w:rPr>
          <w:rFonts w:cs="Arial"/>
          <w:szCs w:val="22"/>
        </w:rPr>
        <w:t xml:space="preserve"> This project originated as a </w:t>
      </w:r>
      <w:proofErr w:type="spellStart"/>
      <w:r w:rsidR="00C52E1A">
        <w:rPr>
          <w:rFonts w:cs="Arial"/>
          <w:szCs w:val="22"/>
        </w:rPr>
        <w:t>multicentric</w:t>
      </w:r>
      <w:proofErr w:type="spellEnd"/>
      <w:r w:rsidR="00C52E1A">
        <w:rPr>
          <w:rFonts w:cs="Arial"/>
          <w:szCs w:val="22"/>
        </w:rPr>
        <w:t xml:space="preserve"> collaboration, aimed at sequencing the </w:t>
      </w:r>
      <w:proofErr w:type="spellStart"/>
      <w:r w:rsidR="00C52E1A">
        <w:rPr>
          <w:rFonts w:cs="Arial"/>
          <w:szCs w:val="22"/>
        </w:rPr>
        <w:t>exome</w:t>
      </w:r>
      <w:proofErr w:type="spellEnd"/>
      <w:r w:rsidR="00C52E1A">
        <w:rPr>
          <w:rFonts w:cs="Arial"/>
          <w:szCs w:val="22"/>
        </w:rPr>
        <w:t xml:space="preserve"> of CLL cells obtained from </w:t>
      </w:r>
      <w:proofErr w:type="spellStart"/>
      <w:r w:rsidR="00C52E1A">
        <w:rPr>
          <w:rFonts w:cs="Arial"/>
          <w:szCs w:val="22"/>
        </w:rPr>
        <w:t>fludarabine</w:t>
      </w:r>
      <w:proofErr w:type="spellEnd"/>
      <w:r w:rsidR="00C52E1A">
        <w:rPr>
          <w:rFonts w:cs="Arial"/>
          <w:szCs w:val="22"/>
        </w:rPr>
        <w:t xml:space="preserve">-resistant patients. It led to the identification of mutations in NOTCH1, SF3B1 and BIRC3 genes. We then went on to analyze the functional role of NOTCH1 in CLL cells. The same approach was also used to study the genomic landscape of patients with splenic marginal zone lymphoma (SMZL), with the identification of mutations in NOTCH2 and KLF2 and a preliminary evaluation of their function in these cells. </w:t>
      </w:r>
    </w:p>
    <w:p w14:paraId="4DF0AC93" w14:textId="37CBD11F" w:rsidR="00DD4C78" w:rsidRPr="00DD4C78" w:rsidRDefault="00DD4C78" w:rsidP="00DD4C78">
      <w:pPr>
        <w:pStyle w:val="EndNoteBibliography"/>
        <w:ind w:left="720" w:hanging="720"/>
        <w:jc w:val="both"/>
        <w:rPr>
          <w:rFonts w:ascii="Arial" w:eastAsia="Times New Roman" w:hAnsi="Arial" w:cs="Arial"/>
          <w:sz w:val="22"/>
          <w:szCs w:val="22"/>
        </w:rPr>
      </w:pPr>
      <w:r w:rsidRPr="00DD4C78">
        <w:rPr>
          <w:rFonts w:ascii="Arial" w:eastAsia="Times New Roman" w:hAnsi="Arial" w:cs="Arial"/>
          <w:sz w:val="22"/>
          <w:szCs w:val="22"/>
        </w:rPr>
        <w:fldChar w:fldCharType="begin"/>
      </w:r>
      <w:r w:rsidRPr="00DD4C78">
        <w:rPr>
          <w:rFonts w:ascii="Arial" w:eastAsia="Times New Roman" w:hAnsi="Arial" w:cs="Arial"/>
          <w:sz w:val="22"/>
          <w:szCs w:val="22"/>
        </w:rPr>
        <w:instrText xml:space="preserve"> ADDIN EN.REFLIST </w:instrText>
      </w:r>
      <w:r w:rsidRPr="00DD4C78">
        <w:rPr>
          <w:rFonts w:ascii="Arial" w:eastAsia="Times New Roman" w:hAnsi="Arial" w:cs="Arial"/>
          <w:sz w:val="22"/>
          <w:szCs w:val="22"/>
        </w:rPr>
        <w:fldChar w:fldCharType="separate"/>
      </w:r>
    </w:p>
    <w:p w14:paraId="325B9FC1" w14:textId="43C2E478" w:rsidR="00DD4C78" w:rsidRPr="00DD4C78" w:rsidRDefault="00264E61" w:rsidP="00C52E1A">
      <w:pPr>
        <w:pStyle w:val="EndNoteBibliography"/>
        <w:ind w:left="720" w:hanging="720"/>
        <w:jc w:val="both"/>
        <w:rPr>
          <w:rFonts w:ascii="Arial" w:eastAsia="Times New Roman" w:hAnsi="Arial" w:cs="Arial"/>
          <w:sz w:val="22"/>
          <w:szCs w:val="22"/>
        </w:rPr>
      </w:pPr>
      <w:r>
        <w:rPr>
          <w:rFonts w:ascii="Arial" w:eastAsia="Times New Roman" w:hAnsi="Arial" w:cs="Arial"/>
          <w:sz w:val="22"/>
          <w:szCs w:val="22"/>
        </w:rPr>
        <w:t>a</w:t>
      </w:r>
      <w:r w:rsidR="00DD4C78" w:rsidRPr="00DD4C78">
        <w:rPr>
          <w:rFonts w:ascii="Arial" w:eastAsia="Times New Roman" w:hAnsi="Arial" w:cs="Arial"/>
          <w:sz w:val="22"/>
          <w:szCs w:val="22"/>
        </w:rPr>
        <w:t>.</w:t>
      </w:r>
      <w:r w:rsidR="00DD4C78" w:rsidRPr="00DD4C78">
        <w:rPr>
          <w:rFonts w:ascii="Arial" w:eastAsia="Times New Roman" w:hAnsi="Arial" w:cs="Arial"/>
          <w:sz w:val="22"/>
          <w:szCs w:val="22"/>
        </w:rPr>
        <w:tab/>
        <w:t>Rossi D, Deaglio S, Dominguez-Sola D, Rasi S, Vaisitti T, Agostinelli C, Spina V, Bruscaggin A, Monti S, Cerri M, et al. Alteration of BIRC3 and multiple other NF-kappaB pathway genes in splenic marginal zone lymphoma. Blood. 2011;118(18):4930-4.</w:t>
      </w:r>
      <w:r w:rsidR="00DD4C78" w:rsidRPr="00DD4C78">
        <w:rPr>
          <w:rFonts w:ascii="Arial" w:eastAsia="Times New Roman" w:hAnsi="Arial" w:cs="Arial"/>
          <w:sz w:val="22"/>
          <w:szCs w:val="22"/>
        </w:rPr>
        <w:tab/>
      </w:r>
    </w:p>
    <w:p w14:paraId="000C7AA5" w14:textId="39BB2AD8" w:rsidR="00DD4C78" w:rsidRPr="00DD4C78" w:rsidRDefault="00264E61" w:rsidP="00DD4C78">
      <w:pPr>
        <w:pStyle w:val="EndNoteBibliography"/>
        <w:ind w:left="720" w:hanging="720"/>
        <w:jc w:val="both"/>
        <w:rPr>
          <w:rFonts w:ascii="Arial" w:eastAsia="Times New Roman" w:hAnsi="Arial" w:cs="Arial"/>
          <w:sz w:val="22"/>
          <w:szCs w:val="22"/>
        </w:rPr>
      </w:pPr>
      <w:r>
        <w:rPr>
          <w:rFonts w:ascii="Arial" w:eastAsia="Times New Roman" w:hAnsi="Arial" w:cs="Arial"/>
          <w:sz w:val="22"/>
          <w:szCs w:val="22"/>
        </w:rPr>
        <w:lastRenderedPageBreak/>
        <w:t>b</w:t>
      </w:r>
      <w:r w:rsidR="00DD4C78" w:rsidRPr="00DD4C78">
        <w:rPr>
          <w:rFonts w:ascii="Arial" w:eastAsia="Times New Roman" w:hAnsi="Arial" w:cs="Arial"/>
          <w:sz w:val="22"/>
          <w:szCs w:val="22"/>
        </w:rPr>
        <w:t>.</w:t>
      </w:r>
      <w:r w:rsidR="00DD4C78" w:rsidRPr="00DD4C78">
        <w:rPr>
          <w:rFonts w:ascii="Arial" w:eastAsia="Times New Roman" w:hAnsi="Arial" w:cs="Arial"/>
          <w:sz w:val="22"/>
          <w:szCs w:val="22"/>
        </w:rPr>
        <w:tab/>
        <w:t>Rossi D, Trifonov V, Fangazio M, Bruscaggin A, Rasi S, Spina V, Monti S, Vaisitti T, Arruga F, Fama R, et al. The coding genome of splenic marginal zone lymphoma: activation of NOTCH2 and other pathways regulating marginal zone development. J Exp Med. 2012;209(9):1537-51.</w:t>
      </w:r>
    </w:p>
    <w:p w14:paraId="79C9C303" w14:textId="07B806CA" w:rsidR="00DD4C78" w:rsidRPr="00DD4C78" w:rsidRDefault="00264E61" w:rsidP="00DD4C78">
      <w:pPr>
        <w:pStyle w:val="EndNoteBibliography"/>
        <w:ind w:left="720" w:hanging="720"/>
        <w:jc w:val="both"/>
        <w:rPr>
          <w:rFonts w:ascii="Arial" w:eastAsia="Times New Roman" w:hAnsi="Arial" w:cs="Arial"/>
          <w:sz w:val="22"/>
          <w:szCs w:val="22"/>
        </w:rPr>
      </w:pPr>
      <w:r>
        <w:rPr>
          <w:rFonts w:ascii="Arial" w:eastAsia="Times New Roman" w:hAnsi="Arial" w:cs="Arial"/>
          <w:sz w:val="22"/>
          <w:szCs w:val="22"/>
        </w:rPr>
        <w:t>c</w:t>
      </w:r>
      <w:r w:rsidR="00DD4C78" w:rsidRPr="00DD4C78">
        <w:rPr>
          <w:rFonts w:ascii="Arial" w:eastAsia="Times New Roman" w:hAnsi="Arial" w:cs="Arial"/>
          <w:sz w:val="22"/>
          <w:szCs w:val="22"/>
        </w:rPr>
        <w:t>.</w:t>
      </w:r>
      <w:r w:rsidR="00DD4C78" w:rsidRPr="00DD4C78">
        <w:rPr>
          <w:rFonts w:ascii="Arial" w:eastAsia="Times New Roman" w:hAnsi="Arial" w:cs="Arial"/>
          <w:sz w:val="22"/>
          <w:szCs w:val="22"/>
        </w:rPr>
        <w:tab/>
        <w:t>Arruga F, Gizdic B, Serra S, Vaisitti T, Ciardullo C, Coscia M, Laurenti L, D'Arena G, Jaksic O, Inghirami G, et al. Functional impact of NOTCH1 mutations in chronic lymphocytic leukemia. Leukemia. 2014;28(5):1060-70.</w:t>
      </w:r>
    </w:p>
    <w:p w14:paraId="4C4B3756" w14:textId="423F43AD" w:rsidR="00DD4C78" w:rsidRPr="00DD4C78" w:rsidRDefault="00264E61" w:rsidP="00DD4C78">
      <w:pPr>
        <w:pStyle w:val="EndNoteBibliography"/>
        <w:ind w:left="720" w:hanging="720"/>
        <w:jc w:val="both"/>
        <w:rPr>
          <w:rFonts w:ascii="Arial" w:eastAsia="Times New Roman" w:hAnsi="Arial" w:cs="Arial"/>
          <w:sz w:val="22"/>
          <w:szCs w:val="22"/>
        </w:rPr>
      </w:pPr>
      <w:r>
        <w:rPr>
          <w:rFonts w:ascii="Arial" w:eastAsia="Times New Roman" w:hAnsi="Arial" w:cs="Arial"/>
          <w:sz w:val="22"/>
          <w:szCs w:val="22"/>
        </w:rPr>
        <w:t>d</w:t>
      </w:r>
      <w:r w:rsidR="00DD4C78" w:rsidRPr="00DD4C78">
        <w:rPr>
          <w:rFonts w:ascii="Arial" w:eastAsia="Times New Roman" w:hAnsi="Arial" w:cs="Arial"/>
          <w:sz w:val="22"/>
          <w:szCs w:val="22"/>
        </w:rPr>
        <w:t>.</w:t>
      </w:r>
      <w:r w:rsidR="00DD4C78" w:rsidRPr="00DD4C78">
        <w:rPr>
          <w:rFonts w:ascii="Arial" w:eastAsia="Times New Roman" w:hAnsi="Arial" w:cs="Arial"/>
          <w:sz w:val="22"/>
          <w:szCs w:val="22"/>
        </w:rPr>
        <w:tab/>
        <w:t>Piva R, Deaglio S, Fama R, Buonincontri R, Scarfo I, Bruscaggin A, Mereu E, Serra S, Spina V, Brusa D, et al. The Kruppel-like factor 2 transcription factor gene is recurrently mutated in splenic marginal zone lymphoma. Leukemia. 2015;29(2):503-7.</w:t>
      </w:r>
    </w:p>
    <w:p w14:paraId="73DF05DC" w14:textId="0E7F695B" w:rsidR="00DD4C78" w:rsidRPr="00DD4C78" w:rsidRDefault="00DD4C78" w:rsidP="00DD4C78">
      <w:pPr>
        <w:pStyle w:val="EndNoteBibliography"/>
        <w:ind w:left="720" w:hanging="720"/>
        <w:jc w:val="both"/>
        <w:rPr>
          <w:rFonts w:ascii="Arial" w:eastAsia="Times New Roman" w:hAnsi="Arial" w:cs="Arial"/>
          <w:sz w:val="22"/>
          <w:szCs w:val="22"/>
        </w:rPr>
      </w:pPr>
      <w:r w:rsidRPr="00DD4C78">
        <w:rPr>
          <w:rFonts w:ascii="Arial" w:eastAsia="Times New Roman" w:hAnsi="Arial" w:cs="Arial"/>
          <w:sz w:val="22"/>
          <w:szCs w:val="22"/>
        </w:rPr>
        <w:fldChar w:fldCharType="end"/>
      </w:r>
    </w:p>
    <w:p w14:paraId="750896EB" w14:textId="77777777" w:rsidR="00470630" w:rsidRDefault="00470630" w:rsidP="007F5259">
      <w:pPr>
        <w:autoSpaceDE/>
        <w:autoSpaceDN/>
        <w:rPr>
          <w:b/>
          <w:szCs w:val="22"/>
        </w:rPr>
      </w:pPr>
    </w:p>
    <w:p w14:paraId="37B36086" w14:textId="77777777" w:rsidR="00470630" w:rsidRDefault="00470630" w:rsidP="00470630">
      <w:pPr>
        <w:pStyle w:val="Default"/>
        <w:rPr>
          <w:sz w:val="22"/>
          <w:szCs w:val="22"/>
        </w:rPr>
      </w:pPr>
      <w:r>
        <w:rPr>
          <w:b/>
          <w:bCs/>
          <w:sz w:val="22"/>
          <w:szCs w:val="22"/>
        </w:rPr>
        <w:t xml:space="preserve">Complete List of Published Work in My Bibliography: </w:t>
      </w:r>
    </w:p>
    <w:p w14:paraId="570BB785" w14:textId="134CF31C" w:rsidR="0048755B" w:rsidRDefault="0048755B" w:rsidP="007F5259">
      <w:pPr>
        <w:autoSpaceDE/>
        <w:autoSpaceDN/>
        <w:rPr>
          <w:szCs w:val="22"/>
        </w:rPr>
      </w:pPr>
      <w:hyperlink r:id="rId14" w:history="1">
        <w:r w:rsidRPr="008B5EC6">
          <w:rPr>
            <w:rStyle w:val="Collegamentoipertestuale"/>
            <w:szCs w:val="22"/>
          </w:rPr>
          <w:t>https://www.ncbi.nlm.nih.gov/myncbi/collections/bibliography/48168277/?reload=addfrompubmed&amp;sortby=date&amp;groupby=citation_type</w:t>
        </w:r>
      </w:hyperlink>
    </w:p>
    <w:p w14:paraId="5902AABA" w14:textId="36DAEE20" w:rsidR="0048755B" w:rsidRPr="0048755B" w:rsidRDefault="0048755B" w:rsidP="007F5259">
      <w:pPr>
        <w:autoSpaceDE/>
        <w:autoSpaceDN/>
        <w:rPr>
          <w:szCs w:val="22"/>
        </w:rPr>
      </w:pPr>
      <w:r>
        <w:rPr>
          <w:szCs w:val="22"/>
        </w:rPr>
        <w:t>Metrics:</w:t>
      </w:r>
      <w:r>
        <w:rPr>
          <w:szCs w:val="22"/>
        </w:rPr>
        <w:tab/>
        <w:t xml:space="preserve">Total IF: </w:t>
      </w:r>
      <w:r w:rsidR="007F28AD">
        <w:rPr>
          <w:szCs w:val="22"/>
        </w:rPr>
        <w:t>834</w:t>
      </w:r>
    </w:p>
    <w:p w14:paraId="43FCEC51" w14:textId="07EE21D6" w:rsidR="0048755B" w:rsidRDefault="0048755B" w:rsidP="007F5259">
      <w:pPr>
        <w:autoSpaceDE/>
        <w:autoSpaceDN/>
        <w:rPr>
          <w:szCs w:val="22"/>
        </w:rPr>
      </w:pPr>
      <w:r>
        <w:rPr>
          <w:szCs w:val="22"/>
        </w:rPr>
        <w:tab/>
      </w:r>
      <w:r>
        <w:rPr>
          <w:szCs w:val="22"/>
        </w:rPr>
        <w:tab/>
      </w:r>
      <w:r>
        <w:rPr>
          <w:szCs w:val="22"/>
        </w:rPr>
        <w:tab/>
        <w:t>Mean IF:</w:t>
      </w:r>
      <w:r w:rsidR="007F28AD">
        <w:rPr>
          <w:szCs w:val="22"/>
        </w:rPr>
        <w:t xml:space="preserve"> 6.52</w:t>
      </w:r>
    </w:p>
    <w:p w14:paraId="6EF53217" w14:textId="168D8ACC" w:rsidR="0048755B" w:rsidRDefault="0048755B" w:rsidP="007F5259">
      <w:pPr>
        <w:autoSpaceDE/>
        <w:autoSpaceDN/>
        <w:rPr>
          <w:szCs w:val="22"/>
        </w:rPr>
      </w:pPr>
      <w:r>
        <w:rPr>
          <w:szCs w:val="22"/>
        </w:rPr>
        <w:tab/>
      </w:r>
      <w:r>
        <w:rPr>
          <w:szCs w:val="22"/>
        </w:rPr>
        <w:tab/>
      </w:r>
      <w:r>
        <w:rPr>
          <w:szCs w:val="22"/>
        </w:rPr>
        <w:tab/>
        <w:t xml:space="preserve">H index: </w:t>
      </w:r>
      <w:r w:rsidR="00760D9A">
        <w:rPr>
          <w:szCs w:val="22"/>
        </w:rPr>
        <w:t>42</w:t>
      </w:r>
      <w:bookmarkStart w:id="0" w:name="_GoBack"/>
      <w:bookmarkEnd w:id="0"/>
    </w:p>
    <w:p w14:paraId="52B45E29" w14:textId="77777777" w:rsidR="00944838" w:rsidRDefault="00944838" w:rsidP="007F5259">
      <w:pPr>
        <w:autoSpaceDE/>
        <w:autoSpaceDN/>
        <w:rPr>
          <w:szCs w:val="22"/>
        </w:rPr>
      </w:pPr>
    </w:p>
    <w:p w14:paraId="7CCCFD37" w14:textId="77777777" w:rsidR="00944838" w:rsidRPr="0048755B" w:rsidRDefault="00944838" w:rsidP="007F5259">
      <w:pPr>
        <w:autoSpaceDE/>
        <w:autoSpaceDN/>
        <w:rPr>
          <w:szCs w:val="22"/>
        </w:rPr>
      </w:pPr>
    </w:p>
    <w:p w14:paraId="6E5B6D1D" w14:textId="1E4C26C8" w:rsidR="00116F7D" w:rsidRPr="007F5259" w:rsidRDefault="00906C80" w:rsidP="007F5259">
      <w:pPr>
        <w:autoSpaceDE/>
        <w:autoSpaceDN/>
        <w:rPr>
          <w:rFonts w:cs="Arial"/>
          <w:b/>
          <w:szCs w:val="22"/>
        </w:rPr>
      </w:pPr>
      <w:r>
        <w:rPr>
          <w:b/>
          <w:szCs w:val="22"/>
        </w:rPr>
        <w:t>D</w:t>
      </w:r>
      <w:r w:rsidR="00116F7D" w:rsidRPr="00B85597">
        <w:rPr>
          <w:b/>
          <w:szCs w:val="22"/>
        </w:rPr>
        <w:t>. RESEARCH SUPPORT</w:t>
      </w:r>
    </w:p>
    <w:p w14:paraId="10394643" w14:textId="77777777" w:rsidR="00664854" w:rsidRDefault="00664854" w:rsidP="00B85597">
      <w:pPr>
        <w:pStyle w:val="DataField11pt-Single"/>
        <w:rPr>
          <w:szCs w:val="22"/>
          <w:u w:val="single"/>
        </w:rPr>
      </w:pPr>
    </w:p>
    <w:p w14:paraId="1A86D355" w14:textId="23C96F2F" w:rsidR="00702DDB" w:rsidRDefault="00702DDB" w:rsidP="00B85597">
      <w:pPr>
        <w:pStyle w:val="DataField11pt-Single"/>
        <w:rPr>
          <w:szCs w:val="22"/>
          <w:u w:val="single"/>
        </w:rPr>
      </w:pPr>
      <w:r w:rsidRPr="007F5259">
        <w:rPr>
          <w:szCs w:val="22"/>
          <w:u w:val="single"/>
        </w:rPr>
        <w:t>Ongoing Research Support</w:t>
      </w:r>
    </w:p>
    <w:p w14:paraId="01BB1E71" w14:textId="77777777" w:rsidR="007F5259" w:rsidRPr="007F5259" w:rsidRDefault="007F5259" w:rsidP="00B85597">
      <w:pPr>
        <w:pStyle w:val="DataField11pt-Single"/>
        <w:rPr>
          <w:szCs w:val="22"/>
          <w:u w:val="single"/>
        </w:rPr>
      </w:pPr>
    </w:p>
    <w:p w14:paraId="506FF6EE" w14:textId="599C6B84" w:rsidR="001A3F63" w:rsidRPr="007F5259" w:rsidRDefault="001A3F63" w:rsidP="00B85597">
      <w:pPr>
        <w:pStyle w:val="DataField11pt-Single"/>
        <w:rPr>
          <w:b/>
          <w:szCs w:val="22"/>
        </w:rPr>
      </w:pPr>
      <w:r w:rsidRPr="007F5259">
        <w:rPr>
          <w:b/>
          <w:szCs w:val="22"/>
        </w:rPr>
        <w:t>Sponsor/</w:t>
      </w:r>
      <w:r w:rsidR="00800B8F">
        <w:rPr>
          <w:b/>
          <w:szCs w:val="22"/>
        </w:rPr>
        <w:t>Italian Association for Cancer Research</w:t>
      </w:r>
    </w:p>
    <w:p w14:paraId="7260DB41" w14:textId="0DB79134" w:rsidR="001A3F63" w:rsidRPr="00B85597" w:rsidRDefault="001A3F63" w:rsidP="00B85597">
      <w:pPr>
        <w:pStyle w:val="DataField11pt-Single"/>
        <w:rPr>
          <w:szCs w:val="22"/>
        </w:rPr>
      </w:pPr>
      <w:r w:rsidRPr="007F5259">
        <w:rPr>
          <w:b/>
          <w:szCs w:val="22"/>
        </w:rPr>
        <w:t xml:space="preserve">Grant Number </w:t>
      </w:r>
      <w:r w:rsidR="00800B8F">
        <w:rPr>
          <w:b/>
          <w:szCs w:val="22"/>
        </w:rPr>
        <w:t>1</w:t>
      </w:r>
      <w:r w:rsidR="00455AD2">
        <w:rPr>
          <w:b/>
          <w:szCs w:val="22"/>
        </w:rPr>
        <w:t>7314</w:t>
      </w:r>
      <w:r w:rsidR="00800B8F">
        <w:rPr>
          <w:szCs w:val="22"/>
        </w:rPr>
        <w:tab/>
      </w:r>
      <w:r w:rsidR="00800B8F">
        <w:rPr>
          <w:szCs w:val="22"/>
        </w:rPr>
        <w:tab/>
      </w:r>
      <w:r w:rsidR="00800B8F">
        <w:rPr>
          <w:szCs w:val="22"/>
        </w:rPr>
        <w:tab/>
      </w:r>
      <w:r w:rsidR="00800B8F">
        <w:rPr>
          <w:szCs w:val="22"/>
        </w:rPr>
        <w:tab/>
        <w:t>Deaglio (PI)</w:t>
      </w:r>
      <w:r w:rsidR="00800B8F">
        <w:rPr>
          <w:szCs w:val="22"/>
        </w:rPr>
        <w:tab/>
      </w:r>
      <w:r w:rsidR="00800B8F">
        <w:rPr>
          <w:szCs w:val="22"/>
        </w:rPr>
        <w:tab/>
      </w:r>
      <w:r w:rsidR="00800B8F">
        <w:rPr>
          <w:szCs w:val="22"/>
        </w:rPr>
        <w:tab/>
      </w:r>
      <w:r w:rsidR="00800B8F">
        <w:rPr>
          <w:szCs w:val="22"/>
        </w:rPr>
        <w:tab/>
      </w:r>
      <w:r w:rsidR="00800B8F">
        <w:rPr>
          <w:szCs w:val="22"/>
        </w:rPr>
        <w:tab/>
      </w:r>
      <w:r w:rsidR="00800B8F">
        <w:rPr>
          <w:szCs w:val="22"/>
        </w:rPr>
        <w:tab/>
      </w:r>
      <w:r w:rsidR="00800B8F">
        <w:rPr>
          <w:szCs w:val="22"/>
        </w:rPr>
        <w:tab/>
      </w:r>
      <w:r w:rsidR="00800B8F">
        <w:rPr>
          <w:szCs w:val="22"/>
        </w:rPr>
        <w:tab/>
      </w:r>
      <w:r w:rsidR="00800B8F">
        <w:rPr>
          <w:szCs w:val="22"/>
        </w:rPr>
        <w:tab/>
      </w:r>
      <w:r w:rsidR="00800B8F">
        <w:rPr>
          <w:szCs w:val="22"/>
        </w:rPr>
        <w:tab/>
      </w:r>
      <w:r w:rsidR="00EC0A58">
        <w:rPr>
          <w:szCs w:val="22"/>
        </w:rPr>
        <w:tab/>
      </w:r>
      <w:r w:rsidR="00455AD2">
        <w:rPr>
          <w:szCs w:val="22"/>
        </w:rPr>
        <w:t>01/01/2016</w:t>
      </w:r>
      <w:r w:rsidR="00800B8F">
        <w:rPr>
          <w:szCs w:val="22"/>
        </w:rPr>
        <w:t xml:space="preserve"> - 12</w:t>
      </w:r>
      <w:r w:rsidR="00455AD2">
        <w:rPr>
          <w:szCs w:val="22"/>
        </w:rPr>
        <w:t>/31/2018</w:t>
      </w:r>
    </w:p>
    <w:p w14:paraId="0591329D" w14:textId="04EE155D" w:rsidR="001A3F63" w:rsidRDefault="001A3F63" w:rsidP="00455AD2">
      <w:pPr>
        <w:suppressAutoHyphens/>
        <w:jc w:val="both"/>
        <w:rPr>
          <w:rFonts w:cs="Arial"/>
          <w:szCs w:val="22"/>
        </w:rPr>
      </w:pPr>
      <w:r w:rsidRPr="00EC0A58">
        <w:rPr>
          <w:rFonts w:cs="Arial"/>
          <w:szCs w:val="22"/>
        </w:rPr>
        <w:t xml:space="preserve">Title: </w:t>
      </w:r>
      <w:r w:rsidR="00800B8F" w:rsidRPr="00EC0A58">
        <w:rPr>
          <w:rFonts w:cs="Arial"/>
          <w:szCs w:val="22"/>
        </w:rPr>
        <w:t>“</w:t>
      </w:r>
      <w:r w:rsidR="00455AD2" w:rsidRPr="00455AD2">
        <w:rPr>
          <w:rFonts w:cs="Arial"/>
          <w:szCs w:val="22"/>
        </w:rPr>
        <w:t>Understanding tumor-host interactions and therapy resistance in chronic lymphocytic leukemia: moving up a NOTCH?</w:t>
      </w:r>
      <w:r w:rsidR="00455AD2">
        <w:rPr>
          <w:rFonts w:cs="Arial"/>
          <w:szCs w:val="22"/>
        </w:rPr>
        <w:t>”</w:t>
      </w:r>
    </w:p>
    <w:p w14:paraId="3615690B" w14:textId="6E6BAAAD" w:rsidR="00455AD2" w:rsidRPr="00455AD2" w:rsidRDefault="00455AD2" w:rsidP="00455AD2">
      <w:pPr>
        <w:suppressAutoHyphens/>
        <w:jc w:val="both"/>
        <w:rPr>
          <w:rFonts w:cs="Arial"/>
          <w:szCs w:val="22"/>
        </w:rPr>
      </w:pPr>
      <w:r>
        <w:rPr>
          <w:rFonts w:cs="Arial"/>
          <w:szCs w:val="22"/>
        </w:rPr>
        <w:t>Objective: Mechanistic project to understand the function of NOTCH1 and the role of its mutations in CLL</w:t>
      </w:r>
    </w:p>
    <w:p w14:paraId="783531E9" w14:textId="77777777" w:rsidR="006721ED" w:rsidRDefault="006721ED" w:rsidP="00B85597">
      <w:pPr>
        <w:pStyle w:val="DataField11pt-Single"/>
        <w:rPr>
          <w:szCs w:val="22"/>
        </w:rPr>
      </w:pPr>
    </w:p>
    <w:p w14:paraId="675BDADB" w14:textId="3EE31D70" w:rsidR="00F635A9" w:rsidRDefault="00F635A9" w:rsidP="00F635A9">
      <w:pPr>
        <w:pStyle w:val="DataField11pt-Single"/>
        <w:rPr>
          <w:b/>
          <w:szCs w:val="22"/>
        </w:rPr>
      </w:pPr>
      <w:r w:rsidRPr="008B3E2C">
        <w:rPr>
          <w:b/>
          <w:szCs w:val="22"/>
        </w:rPr>
        <w:t xml:space="preserve">Sponsor/ </w:t>
      </w:r>
      <w:r>
        <w:rPr>
          <w:b/>
          <w:szCs w:val="22"/>
        </w:rPr>
        <w:t xml:space="preserve">Italian Ministry of Health, Young Investigator </w:t>
      </w:r>
      <w:proofErr w:type="gramStart"/>
      <w:r>
        <w:rPr>
          <w:b/>
          <w:szCs w:val="22"/>
        </w:rPr>
        <w:t>call</w:t>
      </w:r>
      <w:proofErr w:type="gramEnd"/>
      <w:r>
        <w:rPr>
          <w:b/>
          <w:szCs w:val="22"/>
        </w:rPr>
        <w:t xml:space="preserve"> 2</w:t>
      </w:r>
      <w:r w:rsidR="00C20825">
        <w:rPr>
          <w:b/>
          <w:szCs w:val="22"/>
        </w:rPr>
        <w:t>011</w:t>
      </w:r>
    </w:p>
    <w:p w14:paraId="6C632A68" w14:textId="0313B093" w:rsidR="00C20825" w:rsidRPr="00B85597" w:rsidRDefault="00C20825" w:rsidP="00C20825">
      <w:pPr>
        <w:pStyle w:val="DataField11pt-Single"/>
        <w:rPr>
          <w:szCs w:val="22"/>
        </w:rPr>
      </w:pPr>
      <w:r w:rsidRPr="00B85597">
        <w:rPr>
          <w:szCs w:val="22"/>
        </w:rPr>
        <w:t xml:space="preserve">Grant Number </w:t>
      </w:r>
      <w:r w:rsidRPr="002A077E">
        <w:rPr>
          <w:rFonts w:ascii="Calibri" w:hAnsi="Calibri"/>
          <w:color w:val="000000"/>
        </w:rPr>
        <w:t>GR-2011-02346826</w:t>
      </w:r>
      <w:r w:rsidRPr="00B85597">
        <w:rPr>
          <w:szCs w:val="22"/>
        </w:rPr>
        <w:tab/>
      </w:r>
      <w:r w:rsidRPr="00B85597">
        <w:rPr>
          <w:szCs w:val="22"/>
        </w:rPr>
        <w:tab/>
      </w:r>
      <w:r w:rsidRPr="00B85597">
        <w:rPr>
          <w:szCs w:val="22"/>
        </w:rPr>
        <w:tab/>
      </w:r>
      <w:r w:rsidRPr="00B85597">
        <w:rPr>
          <w:szCs w:val="22"/>
        </w:rPr>
        <w:tab/>
      </w:r>
      <w:r w:rsidRPr="00B85597">
        <w:rPr>
          <w:szCs w:val="22"/>
        </w:rPr>
        <w:tab/>
      </w:r>
      <w:r w:rsidRPr="00B85597">
        <w:rPr>
          <w:szCs w:val="22"/>
        </w:rPr>
        <w:tab/>
      </w:r>
      <w:r>
        <w:rPr>
          <w:szCs w:val="22"/>
        </w:rPr>
        <w:t>Deaglio</w:t>
      </w:r>
      <w:r w:rsidRPr="00B85597">
        <w:rPr>
          <w:szCs w:val="22"/>
        </w:rPr>
        <w:t xml:space="preserve"> (</w:t>
      </w:r>
      <w:r>
        <w:rPr>
          <w:szCs w:val="22"/>
        </w:rPr>
        <w:t>co-</w:t>
      </w:r>
      <w:r w:rsidRPr="00B85597">
        <w:rPr>
          <w:szCs w:val="22"/>
        </w:rPr>
        <w:t>PI)</w:t>
      </w:r>
      <w:r w:rsidRPr="00B85597">
        <w:rPr>
          <w:szCs w:val="22"/>
        </w:rPr>
        <w:tab/>
      </w:r>
      <w:r w:rsidRPr="00B85597">
        <w:rPr>
          <w:szCs w:val="22"/>
        </w:rPr>
        <w:tab/>
        <w:t xml:space="preserve">    </w:t>
      </w:r>
      <w:r w:rsidR="00EC0A58">
        <w:rPr>
          <w:szCs w:val="22"/>
        </w:rPr>
        <w:tab/>
      </w:r>
      <w:r w:rsidR="00EC0A58">
        <w:rPr>
          <w:szCs w:val="22"/>
        </w:rPr>
        <w:tab/>
      </w:r>
      <w:r w:rsidR="00EC0A58">
        <w:rPr>
          <w:szCs w:val="22"/>
        </w:rPr>
        <w:tab/>
        <w:t>11/15/2014</w:t>
      </w:r>
      <w:r>
        <w:rPr>
          <w:szCs w:val="22"/>
        </w:rPr>
        <w:t xml:space="preserve"> - 11</w:t>
      </w:r>
      <w:r w:rsidRPr="00B85597">
        <w:rPr>
          <w:szCs w:val="22"/>
        </w:rPr>
        <w:t>/</w:t>
      </w:r>
      <w:r w:rsidR="00EC0A58">
        <w:rPr>
          <w:szCs w:val="22"/>
        </w:rPr>
        <w:t>15/2017</w:t>
      </w:r>
    </w:p>
    <w:p w14:paraId="3C4103B0" w14:textId="2F825A6F" w:rsidR="00C20825" w:rsidRDefault="00EC0A58" w:rsidP="00EC0A58">
      <w:pPr>
        <w:suppressAutoHyphens/>
        <w:jc w:val="both"/>
        <w:rPr>
          <w:szCs w:val="22"/>
        </w:rPr>
      </w:pPr>
      <w:r>
        <w:rPr>
          <w:szCs w:val="22"/>
        </w:rPr>
        <w:t>Title: “</w:t>
      </w:r>
      <w:r w:rsidR="00C20825" w:rsidRPr="00EC0A58">
        <w:rPr>
          <w:szCs w:val="22"/>
        </w:rPr>
        <w:t>Pleiotropic transcriptional control mechanisms of CD49d expression in trisomy 12 chronic</w:t>
      </w:r>
      <w:r>
        <w:rPr>
          <w:szCs w:val="22"/>
        </w:rPr>
        <w:t xml:space="preserve"> </w:t>
      </w:r>
      <w:r w:rsidR="00C20825" w:rsidRPr="00EC0A58">
        <w:rPr>
          <w:szCs w:val="22"/>
        </w:rPr>
        <w:t>lymphocytic leukemia: implications for novel therapeutic approaches</w:t>
      </w:r>
      <w:r>
        <w:rPr>
          <w:szCs w:val="22"/>
        </w:rPr>
        <w:t>”</w:t>
      </w:r>
      <w:r w:rsidR="000E50CD">
        <w:rPr>
          <w:szCs w:val="22"/>
        </w:rPr>
        <w:t>.</w:t>
      </w:r>
    </w:p>
    <w:p w14:paraId="76AB950F" w14:textId="77777777" w:rsidR="000E50CD" w:rsidRDefault="000E50CD" w:rsidP="00EC0A58">
      <w:pPr>
        <w:suppressAutoHyphens/>
        <w:jc w:val="both"/>
        <w:rPr>
          <w:szCs w:val="22"/>
        </w:rPr>
      </w:pPr>
    </w:p>
    <w:p w14:paraId="36D42313" w14:textId="0B229609" w:rsidR="000E50CD" w:rsidRPr="000E50CD" w:rsidRDefault="000E50CD" w:rsidP="00EC0A58">
      <w:pPr>
        <w:suppressAutoHyphens/>
        <w:jc w:val="both"/>
        <w:rPr>
          <w:b/>
          <w:szCs w:val="22"/>
        </w:rPr>
      </w:pPr>
      <w:r w:rsidRPr="000E50CD">
        <w:rPr>
          <w:b/>
          <w:szCs w:val="22"/>
        </w:rPr>
        <w:t xml:space="preserve">Sponsor/ </w:t>
      </w:r>
      <w:proofErr w:type="spellStart"/>
      <w:r w:rsidRPr="000E50CD">
        <w:rPr>
          <w:b/>
          <w:szCs w:val="22"/>
        </w:rPr>
        <w:t>Fondazione</w:t>
      </w:r>
      <w:proofErr w:type="spellEnd"/>
      <w:r w:rsidRPr="000E50CD">
        <w:rPr>
          <w:b/>
          <w:szCs w:val="22"/>
        </w:rPr>
        <w:t xml:space="preserve"> </w:t>
      </w:r>
      <w:proofErr w:type="spellStart"/>
      <w:r w:rsidRPr="000E50CD">
        <w:rPr>
          <w:b/>
          <w:szCs w:val="22"/>
        </w:rPr>
        <w:t>Italiana</w:t>
      </w:r>
      <w:proofErr w:type="spellEnd"/>
      <w:r w:rsidRPr="000E50CD">
        <w:rPr>
          <w:b/>
          <w:szCs w:val="22"/>
        </w:rPr>
        <w:t xml:space="preserve"> </w:t>
      </w:r>
      <w:proofErr w:type="spellStart"/>
      <w:r w:rsidRPr="000E50CD">
        <w:rPr>
          <w:b/>
          <w:szCs w:val="22"/>
        </w:rPr>
        <w:t>Ematologi</w:t>
      </w:r>
      <w:proofErr w:type="spellEnd"/>
      <w:r w:rsidRPr="000E50CD">
        <w:rPr>
          <w:b/>
          <w:szCs w:val="22"/>
        </w:rPr>
        <w:t xml:space="preserve"> </w:t>
      </w:r>
      <w:proofErr w:type="spellStart"/>
      <w:r w:rsidRPr="000E50CD">
        <w:rPr>
          <w:b/>
          <w:szCs w:val="22"/>
        </w:rPr>
        <w:t>Oncologi</w:t>
      </w:r>
      <w:proofErr w:type="spellEnd"/>
      <w:r w:rsidRPr="000E50CD">
        <w:rPr>
          <w:b/>
          <w:szCs w:val="22"/>
        </w:rPr>
        <w:t xml:space="preserve"> </w:t>
      </w:r>
      <w:proofErr w:type="spellStart"/>
      <w:r w:rsidRPr="000E50CD">
        <w:rPr>
          <w:b/>
          <w:szCs w:val="22"/>
        </w:rPr>
        <w:t>Pediatri</w:t>
      </w:r>
      <w:proofErr w:type="spellEnd"/>
    </w:p>
    <w:p w14:paraId="2490F805" w14:textId="1D9BEA48" w:rsidR="000E50CD" w:rsidRDefault="000E50CD" w:rsidP="00EC0A58">
      <w:pPr>
        <w:suppressAutoHyphens/>
        <w:jc w:val="both"/>
        <w:rPr>
          <w:szCs w:val="22"/>
        </w:rPr>
      </w:pPr>
      <w:r>
        <w:rPr>
          <w:szCs w:val="22"/>
        </w:rPr>
        <w:t>Deaglio (co-PI)</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05/01/201</w:t>
      </w:r>
      <w:r w:rsidR="0048755B">
        <w:rPr>
          <w:szCs w:val="22"/>
        </w:rPr>
        <w:t>6 -</w:t>
      </w:r>
      <w:r>
        <w:rPr>
          <w:szCs w:val="22"/>
        </w:rPr>
        <w:t xml:space="preserve"> 04/30/2019</w:t>
      </w:r>
    </w:p>
    <w:p w14:paraId="03526613" w14:textId="1642A530" w:rsidR="000E50CD" w:rsidRDefault="000E50CD" w:rsidP="00EC0A58">
      <w:pPr>
        <w:suppressAutoHyphens/>
        <w:jc w:val="both"/>
        <w:rPr>
          <w:szCs w:val="22"/>
        </w:rPr>
      </w:pPr>
      <w:r>
        <w:rPr>
          <w:szCs w:val="22"/>
        </w:rPr>
        <w:t>Title: “Functional genomics applied to pediatric cancers: from mutations, to function, to therapy”.</w:t>
      </w:r>
    </w:p>
    <w:p w14:paraId="48E2946A" w14:textId="72119ABC" w:rsidR="000E50CD" w:rsidRDefault="009539E8" w:rsidP="00EC0A58">
      <w:pPr>
        <w:suppressAutoHyphens/>
        <w:jc w:val="both"/>
        <w:rPr>
          <w:szCs w:val="22"/>
        </w:rPr>
      </w:pPr>
      <w:r>
        <w:rPr>
          <w:szCs w:val="22"/>
        </w:rPr>
        <w:t xml:space="preserve">Objective: Identification and functional analysis of recurrently mutated genes in pediatric sarcomas </w:t>
      </w:r>
    </w:p>
    <w:p w14:paraId="3CB65233" w14:textId="77777777" w:rsidR="0048755B" w:rsidRDefault="0048755B" w:rsidP="00EC0A58">
      <w:pPr>
        <w:suppressAutoHyphens/>
        <w:jc w:val="both"/>
        <w:rPr>
          <w:szCs w:val="22"/>
        </w:rPr>
      </w:pPr>
    </w:p>
    <w:p w14:paraId="397C37F5" w14:textId="082FA6F3" w:rsidR="0048755B" w:rsidRDefault="0048755B" w:rsidP="00EC0A58">
      <w:pPr>
        <w:suppressAutoHyphens/>
        <w:jc w:val="both"/>
        <w:rPr>
          <w:szCs w:val="22"/>
        </w:rPr>
      </w:pPr>
      <w:r w:rsidRPr="0048755B">
        <w:rPr>
          <w:b/>
          <w:szCs w:val="22"/>
        </w:rPr>
        <w:t xml:space="preserve">Sponsor: </w:t>
      </w:r>
      <w:proofErr w:type="spellStart"/>
      <w:r w:rsidRPr="0048755B">
        <w:rPr>
          <w:b/>
          <w:szCs w:val="22"/>
        </w:rPr>
        <w:t>Halozyme</w:t>
      </w:r>
      <w:proofErr w:type="spellEnd"/>
      <w:r w:rsidRPr="0048755B">
        <w:rPr>
          <w:b/>
          <w:szCs w:val="22"/>
        </w:rPr>
        <w:t xml:space="preserve"> Therapeutics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06/01/2016 - 05/31/2017</w:t>
      </w:r>
    </w:p>
    <w:p w14:paraId="4955792E" w14:textId="27BD6A96" w:rsidR="0048755B" w:rsidRDefault="0048755B" w:rsidP="00EC0A58">
      <w:pPr>
        <w:suppressAutoHyphens/>
        <w:jc w:val="both"/>
        <w:rPr>
          <w:szCs w:val="22"/>
        </w:rPr>
      </w:pPr>
      <w:r>
        <w:rPr>
          <w:szCs w:val="22"/>
        </w:rPr>
        <w:t>Deaglio (PI)</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14:paraId="5585934C" w14:textId="248BF186" w:rsidR="0048755B" w:rsidRDefault="0048755B" w:rsidP="00EC0A58">
      <w:pPr>
        <w:suppressAutoHyphens/>
        <w:jc w:val="both"/>
        <w:rPr>
          <w:szCs w:val="22"/>
        </w:rPr>
      </w:pPr>
      <w:r>
        <w:rPr>
          <w:szCs w:val="22"/>
        </w:rPr>
        <w:t xml:space="preserve">Title: Analysis of the therapeutic potential of </w:t>
      </w:r>
      <w:proofErr w:type="spellStart"/>
      <w:r>
        <w:rPr>
          <w:szCs w:val="22"/>
        </w:rPr>
        <w:t>pegylated</w:t>
      </w:r>
      <w:proofErr w:type="spellEnd"/>
      <w:r>
        <w:rPr>
          <w:szCs w:val="22"/>
        </w:rPr>
        <w:t>-ADA in chronic lymphocytic leukemia</w:t>
      </w:r>
    </w:p>
    <w:p w14:paraId="27246802" w14:textId="77777777" w:rsidR="0048755B" w:rsidRDefault="0048755B" w:rsidP="00EC0A58">
      <w:pPr>
        <w:suppressAutoHyphens/>
        <w:jc w:val="both"/>
        <w:rPr>
          <w:szCs w:val="22"/>
        </w:rPr>
      </w:pPr>
    </w:p>
    <w:p w14:paraId="3AB6E341" w14:textId="7B5520D3" w:rsidR="0048755B" w:rsidRDefault="0048755B" w:rsidP="00EC0A58">
      <w:pPr>
        <w:suppressAutoHyphens/>
        <w:jc w:val="both"/>
        <w:rPr>
          <w:szCs w:val="22"/>
        </w:rPr>
      </w:pPr>
      <w:r w:rsidRPr="0048755B">
        <w:rPr>
          <w:b/>
          <w:szCs w:val="22"/>
        </w:rPr>
        <w:t>Sponsor: Immune Target, Inc.</w:t>
      </w:r>
      <w:r w:rsidRPr="0048755B">
        <w:rPr>
          <w:b/>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09/01/2016 - 08/31/2017</w:t>
      </w:r>
    </w:p>
    <w:p w14:paraId="453D743B" w14:textId="5325D65F" w:rsidR="0048755B" w:rsidRDefault="0048755B" w:rsidP="00EC0A58">
      <w:pPr>
        <w:suppressAutoHyphens/>
        <w:jc w:val="both"/>
        <w:rPr>
          <w:szCs w:val="22"/>
        </w:rPr>
      </w:pPr>
      <w:r>
        <w:rPr>
          <w:szCs w:val="22"/>
        </w:rPr>
        <w:t>Deaglio (PI)</w:t>
      </w:r>
    </w:p>
    <w:p w14:paraId="736A615B" w14:textId="6D9DCD28" w:rsidR="0048755B" w:rsidRDefault="0048755B" w:rsidP="00EC0A58">
      <w:pPr>
        <w:suppressAutoHyphens/>
        <w:jc w:val="both"/>
        <w:rPr>
          <w:szCs w:val="22"/>
        </w:rPr>
      </w:pPr>
      <w:r>
        <w:rPr>
          <w:szCs w:val="22"/>
        </w:rPr>
        <w:t xml:space="preserve">Title: </w:t>
      </w:r>
      <w:proofErr w:type="spellStart"/>
      <w:r>
        <w:rPr>
          <w:szCs w:val="22"/>
        </w:rPr>
        <w:t>Evalutation</w:t>
      </w:r>
      <w:proofErr w:type="spellEnd"/>
      <w:r>
        <w:rPr>
          <w:szCs w:val="22"/>
        </w:rPr>
        <w:t xml:space="preserve"> of the effects of a novel NF-</w:t>
      </w:r>
      <w:proofErr w:type="spellStart"/>
      <w:r>
        <w:rPr>
          <w:szCs w:val="22"/>
        </w:rPr>
        <w:t>kB</w:t>
      </w:r>
      <w:proofErr w:type="spellEnd"/>
      <w:r>
        <w:rPr>
          <w:szCs w:val="22"/>
        </w:rPr>
        <w:t xml:space="preserve"> inhibitor in chronic lymphocytic leukemia and Richter Syndrome models</w:t>
      </w:r>
    </w:p>
    <w:p w14:paraId="7F52BF90" w14:textId="77777777" w:rsidR="0048755B" w:rsidRPr="00EC0A58" w:rsidRDefault="0048755B" w:rsidP="00EC0A58">
      <w:pPr>
        <w:suppressAutoHyphens/>
        <w:jc w:val="both"/>
        <w:rPr>
          <w:szCs w:val="22"/>
        </w:rPr>
      </w:pPr>
    </w:p>
    <w:p w14:paraId="5DCEF362" w14:textId="77777777" w:rsidR="00F635A9" w:rsidRPr="00B85597" w:rsidRDefault="00F635A9" w:rsidP="00EC0A58">
      <w:pPr>
        <w:suppressAutoHyphens/>
        <w:ind w:left="90" w:firstLine="1"/>
        <w:jc w:val="both"/>
        <w:rPr>
          <w:szCs w:val="22"/>
        </w:rPr>
      </w:pPr>
    </w:p>
    <w:p w14:paraId="53C663F3" w14:textId="77777777" w:rsidR="00702DDB" w:rsidRPr="00B85597" w:rsidRDefault="00702DDB" w:rsidP="00EC0A58">
      <w:pPr>
        <w:suppressAutoHyphens/>
        <w:ind w:left="90" w:firstLine="1"/>
        <w:jc w:val="both"/>
        <w:rPr>
          <w:szCs w:val="22"/>
        </w:rPr>
      </w:pPr>
    </w:p>
    <w:p w14:paraId="08DCE459" w14:textId="52628482" w:rsidR="00702DDB" w:rsidRPr="00E26CF3" w:rsidRDefault="0039513F" w:rsidP="00B85597">
      <w:pPr>
        <w:pStyle w:val="DataField11pt-Single"/>
        <w:rPr>
          <w:szCs w:val="22"/>
          <w:u w:val="single"/>
        </w:rPr>
      </w:pPr>
      <w:proofErr w:type="gramStart"/>
      <w:r>
        <w:rPr>
          <w:szCs w:val="22"/>
          <w:u w:val="single"/>
        </w:rPr>
        <w:t>Completed</w:t>
      </w:r>
      <w:r w:rsidR="00485802" w:rsidRPr="00E26CF3">
        <w:rPr>
          <w:szCs w:val="22"/>
          <w:u w:val="single"/>
        </w:rPr>
        <w:t xml:space="preserve"> </w:t>
      </w:r>
      <w:r w:rsidR="00702DDB" w:rsidRPr="00E26CF3">
        <w:rPr>
          <w:szCs w:val="22"/>
          <w:u w:val="single"/>
        </w:rPr>
        <w:t xml:space="preserve"> Research</w:t>
      </w:r>
      <w:proofErr w:type="gramEnd"/>
      <w:r w:rsidR="00702DDB" w:rsidRPr="00E26CF3">
        <w:rPr>
          <w:szCs w:val="22"/>
          <w:u w:val="single"/>
        </w:rPr>
        <w:t xml:space="preserve"> Support</w:t>
      </w:r>
    </w:p>
    <w:p w14:paraId="1D30CF46" w14:textId="621D2220" w:rsidR="00702DDB" w:rsidRPr="00B85597" w:rsidRDefault="00702DDB" w:rsidP="00B85597">
      <w:pPr>
        <w:pStyle w:val="DataField11pt-Single"/>
        <w:rPr>
          <w:szCs w:val="22"/>
        </w:rPr>
      </w:pPr>
      <w:r w:rsidRPr="00B85597">
        <w:rPr>
          <w:szCs w:val="22"/>
        </w:rPr>
        <w:t xml:space="preserve">Sponsor: </w:t>
      </w:r>
      <w:r w:rsidR="00EC0A58" w:rsidRPr="00E26CF3">
        <w:rPr>
          <w:b/>
          <w:szCs w:val="22"/>
        </w:rPr>
        <w:t>Italian Association for Cancer Research</w:t>
      </w:r>
      <w:r w:rsidRPr="00E26CF3">
        <w:rPr>
          <w:b/>
          <w:szCs w:val="22"/>
        </w:rPr>
        <w:tab/>
      </w:r>
      <w:r w:rsidR="00937470" w:rsidRPr="00B85597">
        <w:rPr>
          <w:szCs w:val="22"/>
        </w:rPr>
        <w:tab/>
      </w:r>
      <w:r w:rsidR="00937470" w:rsidRPr="00B85597">
        <w:rPr>
          <w:szCs w:val="22"/>
        </w:rPr>
        <w:tab/>
      </w:r>
      <w:r w:rsidR="00937470" w:rsidRPr="00B85597">
        <w:rPr>
          <w:szCs w:val="22"/>
        </w:rPr>
        <w:tab/>
      </w:r>
      <w:r w:rsidR="00EC0A58">
        <w:rPr>
          <w:szCs w:val="22"/>
        </w:rPr>
        <w:t>Deaglio</w:t>
      </w:r>
      <w:r w:rsidR="00634DA5" w:rsidRPr="00B85597">
        <w:rPr>
          <w:szCs w:val="22"/>
        </w:rPr>
        <w:t xml:space="preserve"> (PI)</w:t>
      </w:r>
      <w:r w:rsidR="00634DA5" w:rsidRPr="00B85597">
        <w:rPr>
          <w:szCs w:val="22"/>
        </w:rPr>
        <w:tab/>
      </w:r>
      <w:r w:rsidRPr="00B85597">
        <w:rPr>
          <w:szCs w:val="22"/>
        </w:rPr>
        <w:tab/>
      </w:r>
      <w:r w:rsidRPr="00B85597">
        <w:rPr>
          <w:szCs w:val="22"/>
        </w:rPr>
        <w:tab/>
      </w:r>
      <w:r w:rsidR="00CF6288">
        <w:rPr>
          <w:szCs w:val="22"/>
        </w:rPr>
        <w:t>1</w:t>
      </w:r>
      <w:r w:rsidRPr="00B85597">
        <w:rPr>
          <w:szCs w:val="22"/>
        </w:rPr>
        <w:t>/1/20</w:t>
      </w:r>
      <w:r w:rsidR="00455AD2">
        <w:rPr>
          <w:szCs w:val="22"/>
        </w:rPr>
        <w:t>13</w:t>
      </w:r>
      <w:r w:rsidRPr="00B85597">
        <w:rPr>
          <w:szCs w:val="22"/>
        </w:rPr>
        <w:t>-</w:t>
      </w:r>
      <w:r w:rsidR="00EC0A58">
        <w:rPr>
          <w:szCs w:val="22"/>
        </w:rPr>
        <w:t>12/31</w:t>
      </w:r>
      <w:r w:rsidRPr="00B85597">
        <w:rPr>
          <w:szCs w:val="22"/>
        </w:rPr>
        <w:t>/20</w:t>
      </w:r>
      <w:r w:rsidR="00455AD2">
        <w:rPr>
          <w:szCs w:val="22"/>
        </w:rPr>
        <w:t>15</w:t>
      </w:r>
    </w:p>
    <w:p w14:paraId="1B338162" w14:textId="70E8C745" w:rsidR="00702DDB" w:rsidRPr="00B85597" w:rsidRDefault="00702DDB" w:rsidP="00B85597">
      <w:pPr>
        <w:pStyle w:val="DataField11pt-Single"/>
        <w:rPr>
          <w:szCs w:val="22"/>
        </w:rPr>
      </w:pPr>
      <w:r w:rsidRPr="00B85597">
        <w:rPr>
          <w:szCs w:val="22"/>
        </w:rPr>
        <w:t xml:space="preserve">Grant Number </w:t>
      </w:r>
      <w:r w:rsidR="0039513F">
        <w:rPr>
          <w:szCs w:val="22"/>
        </w:rPr>
        <w:t>89259</w:t>
      </w:r>
    </w:p>
    <w:p w14:paraId="21F757FB" w14:textId="1A1D4A8D" w:rsidR="00702DDB" w:rsidRPr="00B85597" w:rsidRDefault="00937470" w:rsidP="00B85597">
      <w:pPr>
        <w:pStyle w:val="DataField11pt-Single"/>
        <w:rPr>
          <w:szCs w:val="22"/>
        </w:rPr>
      </w:pPr>
      <w:r w:rsidRPr="00B85597">
        <w:rPr>
          <w:szCs w:val="22"/>
        </w:rPr>
        <w:lastRenderedPageBreak/>
        <w:t xml:space="preserve">Title: </w:t>
      </w:r>
      <w:r w:rsidR="0039513F">
        <w:rPr>
          <w:szCs w:val="22"/>
        </w:rPr>
        <w:t>“</w:t>
      </w:r>
      <w:r w:rsidR="0039513F" w:rsidRPr="0039513F">
        <w:rPr>
          <w:b/>
          <w:szCs w:val="22"/>
        </w:rPr>
        <w:t xml:space="preserve">Cooperation between </w:t>
      </w:r>
      <w:proofErr w:type="spellStart"/>
      <w:r w:rsidR="0039513F" w:rsidRPr="0039513F">
        <w:rPr>
          <w:b/>
          <w:szCs w:val="22"/>
        </w:rPr>
        <w:t>adenosinergic</w:t>
      </w:r>
      <w:proofErr w:type="spellEnd"/>
      <w:r w:rsidR="0039513F" w:rsidRPr="0039513F">
        <w:rPr>
          <w:b/>
          <w:szCs w:val="22"/>
        </w:rPr>
        <w:t xml:space="preserve"> and hypoxic signals in the organization of the leukemic niche</w:t>
      </w:r>
      <w:r w:rsidR="0039513F">
        <w:rPr>
          <w:b/>
          <w:szCs w:val="22"/>
        </w:rPr>
        <w:t>”</w:t>
      </w:r>
    </w:p>
    <w:p w14:paraId="28F707AF" w14:textId="0FD11848" w:rsidR="00702DDB" w:rsidRDefault="00485802" w:rsidP="00B85597">
      <w:pPr>
        <w:pStyle w:val="DataField11pt-Single"/>
        <w:rPr>
          <w:szCs w:val="22"/>
        </w:rPr>
      </w:pPr>
      <w:r>
        <w:rPr>
          <w:szCs w:val="22"/>
        </w:rPr>
        <w:t>Aims</w:t>
      </w:r>
      <w:r w:rsidR="00937470" w:rsidRPr="00B85597">
        <w:rPr>
          <w:szCs w:val="22"/>
        </w:rPr>
        <w:t xml:space="preserve">: </w:t>
      </w:r>
    </w:p>
    <w:p w14:paraId="639D4B5C" w14:textId="2F8868FB" w:rsidR="00485802" w:rsidRPr="00B85597" w:rsidRDefault="00485802" w:rsidP="00B85597">
      <w:pPr>
        <w:pStyle w:val="DataField11pt-Single"/>
        <w:rPr>
          <w:szCs w:val="22"/>
        </w:rPr>
      </w:pPr>
      <w:r w:rsidRPr="00485802">
        <w:rPr>
          <w:szCs w:val="22"/>
        </w:rPr>
        <w:t xml:space="preserve">Aim 1: </w:t>
      </w:r>
      <w:r w:rsidR="00825D65">
        <w:rPr>
          <w:szCs w:val="22"/>
        </w:rPr>
        <w:t xml:space="preserve">To </w:t>
      </w:r>
      <w:r w:rsidR="0039513F">
        <w:rPr>
          <w:szCs w:val="22"/>
        </w:rPr>
        <w:t xml:space="preserve">determine the effects of hypoxia on the </w:t>
      </w:r>
      <w:proofErr w:type="spellStart"/>
      <w:r w:rsidR="0039513F">
        <w:rPr>
          <w:szCs w:val="22"/>
        </w:rPr>
        <w:t>adenosinergic</w:t>
      </w:r>
      <w:proofErr w:type="spellEnd"/>
      <w:r w:rsidR="0039513F">
        <w:rPr>
          <w:szCs w:val="22"/>
        </w:rPr>
        <w:t xml:space="preserve"> axis in CLL and in bystander cells</w:t>
      </w:r>
    </w:p>
    <w:p w14:paraId="27EE93B3" w14:textId="56F661C7" w:rsidR="00702DDB" w:rsidRDefault="00485802" w:rsidP="00485802">
      <w:pPr>
        <w:pStyle w:val="DataField11pt-Single"/>
        <w:rPr>
          <w:szCs w:val="22"/>
        </w:rPr>
      </w:pPr>
      <w:r w:rsidRPr="00485802">
        <w:rPr>
          <w:szCs w:val="22"/>
        </w:rPr>
        <w:t xml:space="preserve">Aim 2: </w:t>
      </w:r>
      <w:r w:rsidR="00825D65">
        <w:rPr>
          <w:szCs w:val="22"/>
        </w:rPr>
        <w:t xml:space="preserve">To </w:t>
      </w:r>
      <w:r w:rsidR="0039513F">
        <w:rPr>
          <w:szCs w:val="22"/>
        </w:rPr>
        <w:t xml:space="preserve">determine whether adenosine signaling may activate </w:t>
      </w:r>
      <w:proofErr w:type="gramStart"/>
      <w:r w:rsidR="0039513F">
        <w:rPr>
          <w:szCs w:val="22"/>
        </w:rPr>
        <w:t>an</w:t>
      </w:r>
      <w:proofErr w:type="gramEnd"/>
      <w:r w:rsidR="0039513F">
        <w:rPr>
          <w:szCs w:val="22"/>
        </w:rPr>
        <w:t xml:space="preserve"> hypoxi</w:t>
      </w:r>
      <w:r w:rsidR="002B061A">
        <w:rPr>
          <w:szCs w:val="22"/>
        </w:rPr>
        <w:t>c</w:t>
      </w:r>
      <w:r w:rsidR="0039513F">
        <w:rPr>
          <w:szCs w:val="22"/>
        </w:rPr>
        <w:t xml:space="preserve"> signature </w:t>
      </w:r>
    </w:p>
    <w:p w14:paraId="3A574B6A" w14:textId="47C0A6DA" w:rsidR="00485802" w:rsidRDefault="00485802" w:rsidP="00EC0A58">
      <w:pPr>
        <w:pStyle w:val="DataField11pt-Single"/>
        <w:rPr>
          <w:szCs w:val="22"/>
        </w:rPr>
      </w:pPr>
      <w:r w:rsidRPr="00485802">
        <w:rPr>
          <w:szCs w:val="22"/>
        </w:rPr>
        <w:t>Aim</w:t>
      </w:r>
      <w:r w:rsidR="00664854">
        <w:rPr>
          <w:szCs w:val="22"/>
        </w:rPr>
        <w:t xml:space="preserve"> </w:t>
      </w:r>
      <w:r w:rsidR="0039513F">
        <w:rPr>
          <w:szCs w:val="22"/>
        </w:rPr>
        <w:t>3: To determine the effects of adenosine signaling under hypoxic conditions in T lymphocytes from CLL patients</w:t>
      </w:r>
    </w:p>
    <w:p w14:paraId="1B325468" w14:textId="28146736" w:rsidR="00EC0A58" w:rsidRPr="00B85597" w:rsidRDefault="00EC0A58" w:rsidP="00EC0A58">
      <w:pPr>
        <w:pStyle w:val="DataField11pt-Single"/>
        <w:rPr>
          <w:szCs w:val="22"/>
        </w:rPr>
      </w:pPr>
      <w:r>
        <w:rPr>
          <w:szCs w:val="22"/>
        </w:rPr>
        <w:t xml:space="preserve">Aim 4: </w:t>
      </w:r>
      <w:r w:rsidR="00825D65">
        <w:rPr>
          <w:szCs w:val="22"/>
        </w:rPr>
        <w:t xml:space="preserve">To </w:t>
      </w:r>
      <w:r>
        <w:rPr>
          <w:szCs w:val="22"/>
        </w:rPr>
        <w:t xml:space="preserve">test the </w:t>
      </w:r>
      <w:r w:rsidR="0039513F">
        <w:rPr>
          <w:szCs w:val="22"/>
        </w:rPr>
        <w:t>impact of pharmacological targeting of adenosine receptors in CLL</w:t>
      </w:r>
    </w:p>
    <w:p w14:paraId="3FFEB2FB" w14:textId="77777777" w:rsidR="00485802" w:rsidRDefault="00485802" w:rsidP="00B85597">
      <w:pPr>
        <w:pStyle w:val="DataField11pt-Single"/>
        <w:rPr>
          <w:szCs w:val="22"/>
        </w:rPr>
      </w:pPr>
    </w:p>
    <w:p w14:paraId="06A50CAD" w14:textId="77816CFB" w:rsidR="00702DDB" w:rsidRPr="00B85597" w:rsidRDefault="00702DDB" w:rsidP="00B85597">
      <w:pPr>
        <w:pStyle w:val="DataField11pt-Single"/>
        <w:rPr>
          <w:szCs w:val="22"/>
        </w:rPr>
      </w:pPr>
      <w:r w:rsidRPr="00B85597">
        <w:rPr>
          <w:szCs w:val="22"/>
        </w:rPr>
        <w:t xml:space="preserve">Sponsor:  </w:t>
      </w:r>
      <w:r w:rsidR="0039513F">
        <w:rPr>
          <w:b/>
          <w:szCs w:val="22"/>
        </w:rPr>
        <w:t>Italian Ministry of Health</w:t>
      </w:r>
      <w:r w:rsidR="00485802">
        <w:rPr>
          <w:szCs w:val="22"/>
        </w:rPr>
        <w:tab/>
      </w:r>
      <w:r w:rsidRPr="00B85597">
        <w:rPr>
          <w:szCs w:val="22"/>
        </w:rPr>
        <w:tab/>
      </w:r>
      <w:r w:rsidR="00EC0A58">
        <w:rPr>
          <w:szCs w:val="22"/>
        </w:rPr>
        <w:t>Deaglio</w:t>
      </w:r>
      <w:r w:rsidR="00634DA5" w:rsidRPr="00B85597">
        <w:rPr>
          <w:szCs w:val="22"/>
        </w:rPr>
        <w:t xml:space="preserve"> (PI)</w:t>
      </w:r>
      <w:r w:rsidR="00634DA5" w:rsidRPr="00B85597">
        <w:rPr>
          <w:szCs w:val="22"/>
        </w:rPr>
        <w:tab/>
      </w:r>
      <w:r w:rsidRPr="00B85597">
        <w:rPr>
          <w:szCs w:val="22"/>
        </w:rPr>
        <w:tab/>
      </w:r>
      <w:r w:rsidR="00CF6288">
        <w:rPr>
          <w:szCs w:val="22"/>
        </w:rPr>
        <w:tab/>
      </w:r>
      <w:r w:rsidR="00CF6288">
        <w:rPr>
          <w:szCs w:val="22"/>
        </w:rPr>
        <w:tab/>
      </w:r>
      <w:r w:rsidR="00CF6288">
        <w:rPr>
          <w:szCs w:val="22"/>
        </w:rPr>
        <w:tab/>
      </w:r>
      <w:r w:rsidR="0039513F">
        <w:rPr>
          <w:szCs w:val="22"/>
        </w:rPr>
        <w:tab/>
        <w:t>11</w:t>
      </w:r>
      <w:r w:rsidRPr="00B85597">
        <w:rPr>
          <w:szCs w:val="22"/>
        </w:rPr>
        <w:t>/</w:t>
      </w:r>
      <w:r w:rsidR="0039513F">
        <w:rPr>
          <w:szCs w:val="22"/>
        </w:rPr>
        <w:t>15</w:t>
      </w:r>
      <w:r w:rsidRPr="00B85597">
        <w:rPr>
          <w:szCs w:val="22"/>
        </w:rPr>
        <w:t>/20</w:t>
      </w:r>
      <w:r w:rsidR="0039513F">
        <w:rPr>
          <w:szCs w:val="22"/>
        </w:rPr>
        <w:t>10</w:t>
      </w:r>
      <w:r w:rsidRPr="00B85597">
        <w:rPr>
          <w:szCs w:val="22"/>
        </w:rPr>
        <w:t>-</w:t>
      </w:r>
      <w:r w:rsidR="0039513F">
        <w:rPr>
          <w:szCs w:val="22"/>
        </w:rPr>
        <w:t>11/15</w:t>
      </w:r>
      <w:r w:rsidRPr="00B85597">
        <w:rPr>
          <w:szCs w:val="22"/>
        </w:rPr>
        <w:t>/20</w:t>
      </w:r>
      <w:r w:rsidR="0039513F">
        <w:rPr>
          <w:szCs w:val="22"/>
        </w:rPr>
        <w:t>14</w:t>
      </w:r>
    </w:p>
    <w:p w14:paraId="04E409BD" w14:textId="6928A192" w:rsidR="00702DDB" w:rsidRPr="00B85597" w:rsidRDefault="00702DDB" w:rsidP="00B85597">
      <w:pPr>
        <w:pStyle w:val="DataField11pt-Single"/>
        <w:rPr>
          <w:szCs w:val="22"/>
        </w:rPr>
      </w:pPr>
      <w:r w:rsidRPr="00B85597">
        <w:rPr>
          <w:szCs w:val="22"/>
        </w:rPr>
        <w:t xml:space="preserve">Grant Number </w:t>
      </w:r>
      <w:r w:rsidR="0039513F">
        <w:rPr>
          <w:szCs w:val="22"/>
        </w:rPr>
        <w:t>Young Investigator Call 2008, 1138053</w:t>
      </w:r>
    </w:p>
    <w:p w14:paraId="7A47FB78" w14:textId="532AC964" w:rsidR="00702DDB" w:rsidRPr="00825D65" w:rsidRDefault="00937470" w:rsidP="00825D65">
      <w:pPr>
        <w:pStyle w:val="Default"/>
        <w:rPr>
          <w:rFonts w:ascii="Times New Roman" w:hAnsi="Times New Roman" w:cs="Times New Roman"/>
        </w:rPr>
        <w:sectPr w:rsidR="00702DDB" w:rsidRPr="00825D65" w:rsidSect="00EA1D22">
          <w:footerReference w:type="default" r:id="rId15"/>
          <w:type w:val="continuous"/>
          <w:pgSz w:w="12240" w:h="15840" w:code="1"/>
          <w:pgMar w:top="1152" w:right="810" w:bottom="720" w:left="720" w:header="720" w:footer="720" w:gutter="0"/>
          <w:cols w:space="720"/>
          <w:formProt w:val="0"/>
          <w:docGrid w:linePitch="326"/>
        </w:sectPr>
      </w:pPr>
      <w:r w:rsidRPr="00B85597">
        <w:rPr>
          <w:szCs w:val="22"/>
        </w:rPr>
        <w:t xml:space="preserve">Title: </w:t>
      </w:r>
      <w:r w:rsidR="0039513F" w:rsidRPr="0039513F">
        <w:rPr>
          <w:b/>
          <w:szCs w:val="22"/>
        </w:rPr>
        <w:t>Identification of novel prognostic factors and therapeutic targets for Richter’s Syndrome</w:t>
      </w:r>
    </w:p>
    <w:p w14:paraId="77514A95" w14:textId="3AD6BEC4" w:rsidR="004E09DD" w:rsidRDefault="00664854" w:rsidP="00B85597">
      <w:pPr>
        <w:rPr>
          <w:szCs w:val="22"/>
        </w:rPr>
      </w:pPr>
      <w:r>
        <w:rPr>
          <w:szCs w:val="22"/>
        </w:rPr>
        <w:lastRenderedPageBreak/>
        <w:t>Aim 1</w:t>
      </w:r>
      <w:r w:rsidR="00937470" w:rsidRPr="00B85597">
        <w:rPr>
          <w:szCs w:val="22"/>
        </w:rPr>
        <w:t xml:space="preserve">: </w:t>
      </w:r>
      <w:r w:rsidR="00825D65">
        <w:rPr>
          <w:szCs w:val="22"/>
        </w:rPr>
        <w:t xml:space="preserve">To define </w:t>
      </w:r>
      <w:r w:rsidR="0039513F">
        <w:rPr>
          <w:szCs w:val="22"/>
        </w:rPr>
        <w:t>the role of extracellular nucleotides in favoring transformation of CLL to Richter Syndrome</w:t>
      </w:r>
    </w:p>
    <w:p w14:paraId="10DB1158" w14:textId="08454E79" w:rsidR="00664854" w:rsidRDefault="00664854" w:rsidP="00B85597">
      <w:pPr>
        <w:rPr>
          <w:szCs w:val="22"/>
        </w:rPr>
      </w:pPr>
      <w:r>
        <w:rPr>
          <w:szCs w:val="22"/>
        </w:rPr>
        <w:t>Aim 2</w:t>
      </w:r>
      <w:r w:rsidRPr="00B85597">
        <w:rPr>
          <w:szCs w:val="22"/>
        </w:rPr>
        <w:t>:</w:t>
      </w:r>
      <w:r>
        <w:rPr>
          <w:szCs w:val="22"/>
        </w:rPr>
        <w:t xml:space="preserve"> </w:t>
      </w:r>
      <w:r w:rsidR="00825D65">
        <w:rPr>
          <w:szCs w:val="22"/>
        </w:rPr>
        <w:t xml:space="preserve">To </w:t>
      </w:r>
      <w:r w:rsidR="0039513F">
        <w:rPr>
          <w:szCs w:val="22"/>
        </w:rPr>
        <w:t>discover the role the host genetic polymorphism in predisposing to Richter Syndrome</w:t>
      </w:r>
    </w:p>
    <w:p w14:paraId="0DAF2528" w14:textId="78B92BAB" w:rsidR="00825D65" w:rsidRDefault="0039513F" w:rsidP="00B85597">
      <w:pPr>
        <w:rPr>
          <w:szCs w:val="22"/>
        </w:rPr>
      </w:pPr>
      <w:r>
        <w:rPr>
          <w:szCs w:val="22"/>
        </w:rPr>
        <w:t>Aim 3: To determine the role of immune checkpoint inhibitors in favoring transformation of CLL to Richter Syndrome</w:t>
      </w:r>
    </w:p>
    <w:p w14:paraId="4512035B" w14:textId="2DE6C49B" w:rsidR="002B061A" w:rsidRPr="00B85597" w:rsidRDefault="002B061A" w:rsidP="00B85597">
      <w:pPr>
        <w:rPr>
          <w:szCs w:val="22"/>
        </w:rPr>
      </w:pPr>
      <w:r>
        <w:rPr>
          <w:szCs w:val="22"/>
        </w:rPr>
        <w:t>Aim 4: To set-up animal models of Richter’s syndrome</w:t>
      </w:r>
    </w:p>
    <w:p w14:paraId="60D23EFC" w14:textId="77777777" w:rsidR="001A3F63" w:rsidRDefault="001A3F63" w:rsidP="00B85597">
      <w:pPr>
        <w:pStyle w:val="DataField11pt-Single"/>
        <w:rPr>
          <w:szCs w:val="22"/>
        </w:rPr>
      </w:pPr>
    </w:p>
    <w:p w14:paraId="5237DEA1" w14:textId="4AD9F22A" w:rsidR="001A3F63" w:rsidRPr="00B85597" w:rsidRDefault="00E26CF3" w:rsidP="00B85597">
      <w:pPr>
        <w:pStyle w:val="DataField11pt-Single"/>
        <w:rPr>
          <w:szCs w:val="22"/>
        </w:rPr>
      </w:pPr>
      <w:r>
        <w:rPr>
          <w:szCs w:val="22"/>
        </w:rPr>
        <w:t xml:space="preserve">Sponsor: </w:t>
      </w:r>
      <w:r w:rsidR="0039513F">
        <w:rPr>
          <w:b/>
          <w:szCs w:val="22"/>
        </w:rPr>
        <w:t>Italian Ministry of Education</w:t>
      </w:r>
      <w:r>
        <w:rPr>
          <w:szCs w:val="22"/>
        </w:rPr>
        <w:tab/>
      </w:r>
      <w:r>
        <w:rPr>
          <w:szCs w:val="22"/>
        </w:rPr>
        <w:tab/>
      </w:r>
      <w:r>
        <w:rPr>
          <w:szCs w:val="22"/>
        </w:rPr>
        <w:tab/>
      </w:r>
      <w:r>
        <w:rPr>
          <w:szCs w:val="22"/>
        </w:rPr>
        <w:tab/>
        <w:t>Deaglio</w:t>
      </w:r>
      <w:r w:rsidR="0039513F">
        <w:rPr>
          <w:szCs w:val="22"/>
        </w:rPr>
        <w:t xml:space="preserve"> (PI)</w:t>
      </w:r>
      <w:r w:rsidR="0039513F">
        <w:rPr>
          <w:szCs w:val="22"/>
        </w:rPr>
        <w:tab/>
      </w:r>
      <w:r w:rsidR="0039513F">
        <w:rPr>
          <w:szCs w:val="22"/>
        </w:rPr>
        <w:tab/>
      </w:r>
      <w:r w:rsidR="0039513F">
        <w:rPr>
          <w:szCs w:val="22"/>
        </w:rPr>
        <w:tab/>
      </w:r>
      <w:r w:rsidR="0039513F">
        <w:rPr>
          <w:szCs w:val="22"/>
        </w:rPr>
        <w:tab/>
      </w:r>
      <w:r w:rsidR="0039513F">
        <w:rPr>
          <w:szCs w:val="22"/>
        </w:rPr>
        <w:tab/>
      </w:r>
      <w:r w:rsidR="0039513F">
        <w:rPr>
          <w:szCs w:val="22"/>
        </w:rPr>
        <w:tab/>
        <w:t>01/01/2011-5/31/2014</w:t>
      </w:r>
    </w:p>
    <w:p w14:paraId="4464A92B" w14:textId="2F8CE4DD" w:rsidR="001A3F63" w:rsidRDefault="0039513F" w:rsidP="00B85597">
      <w:pPr>
        <w:pStyle w:val="DataField11pt-Single"/>
        <w:rPr>
          <w:szCs w:val="22"/>
        </w:rPr>
      </w:pPr>
      <w:r>
        <w:rPr>
          <w:szCs w:val="22"/>
        </w:rPr>
        <w:t xml:space="preserve">Grant number: </w:t>
      </w:r>
      <w:proofErr w:type="spellStart"/>
      <w:r>
        <w:rPr>
          <w:szCs w:val="22"/>
        </w:rPr>
        <w:t>Progetto</w:t>
      </w:r>
      <w:proofErr w:type="spellEnd"/>
      <w:r>
        <w:rPr>
          <w:szCs w:val="22"/>
        </w:rPr>
        <w:t xml:space="preserve"> </w:t>
      </w:r>
      <w:proofErr w:type="spellStart"/>
      <w:r>
        <w:rPr>
          <w:szCs w:val="22"/>
        </w:rPr>
        <w:t>Giovani</w:t>
      </w:r>
      <w:proofErr w:type="spellEnd"/>
      <w:r>
        <w:rPr>
          <w:szCs w:val="22"/>
        </w:rPr>
        <w:t xml:space="preserve"> </w:t>
      </w:r>
      <w:proofErr w:type="spellStart"/>
      <w:r>
        <w:rPr>
          <w:szCs w:val="22"/>
        </w:rPr>
        <w:t>Ricercatori</w:t>
      </w:r>
      <w:proofErr w:type="spellEnd"/>
      <w:r>
        <w:rPr>
          <w:szCs w:val="22"/>
        </w:rPr>
        <w:t>, call 2008, RBFR08ATLH</w:t>
      </w:r>
    </w:p>
    <w:p w14:paraId="367D6BF5" w14:textId="0D655EE0" w:rsidR="0039513F" w:rsidRPr="0039513F" w:rsidRDefault="00E26CF3" w:rsidP="00B85597">
      <w:pPr>
        <w:pStyle w:val="DataField11pt-Single"/>
        <w:rPr>
          <w:b/>
          <w:szCs w:val="22"/>
        </w:rPr>
      </w:pPr>
      <w:r>
        <w:rPr>
          <w:szCs w:val="22"/>
        </w:rPr>
        <w:t xml:space="preserve">Title: </w:t>
      </w:r>
      <w:r w:rsidR="0039513F" w:rsidRPr="0039513F">
        <w:rPr>
          <w:b/>
          <w:szCs w:val="22"/>
        </w:rPr>
        <w:t>Soluble factors, membrane receptors and genetic regulation in tumor/host interactions</w:t>
      </w:r>
    </w:p>
    <w:p w14:paraId="4DDE4DEB" w14:textId="0BCA6C86" w:rsidR="00E26CF3" w:rsidRPr="0039513F" w:rsidRDefault="00E26CF3" w:rsidP="0039513F">
      <w:pPr>
        <w:pStyle w:val="DataField11pt-Single"/>
        <w:rPr>
          <w:szCs w:val="22"/>
        </w:rPr>
      </w:pPr>
      <w:r>
        <w:rPr>
          <w:szCs w:val="22"/>
        </w:rPr>
        <w:t xml:space="preserve">Aim 1: </w:t>
      </w:r>
      <w:r w:rsidR="0039513F" w:rsidRPr="0039513F">
        <w:rPr>
          <w:szCs w:val="22"/>
        </w:rPr>
        <w:t>evaluate whether the signals mediated by extracellular nucleotides collaborate with the chemokine network in directing</w:t>
      </w:r>
      <w:r w:rsidR="0039513F">
        <w:rPr>
          <w:szCs w:val="22"/>
        </w:rPr>
        <w:t xml:space="preserve"> </w:t>
      </w:r>
      <w:r w:rsidR="0039513F" w:rsidRPr="0039513F">
        <w:rPr>
          <w:szCs w:val="22"/>
        </w:rPr>
        <w:t>neoplastic cells towards growth-permissive microenvironments, while at the same time protecting against the action of the immune system</w:t>
      </w:r>
    </w:p>
    <w:p w14:paraId="5C55FB47" w14:textId="1AE34961" w:rsidR="0039513F" w:rsidRDefault="0039513F" w:rsidP="0039513F">
      <w:pPr>
        <w:pStyle w:val="DataField11pt-Single"/>
        <w:rPr>
          <w:szCs w:val="22"/>
        </w:rPr>
      </w:pPr>
      <w:r w:rsidRPr="0039513F">
        <w:rPr>
          <w:szCs w:val="22"/>
        </w:rPr>
        <w:t>Aim 2: to analyze the expression of HLA-G, a non-classical histocompatibility molecule, in a wide cohort of CLL patients and to</w:t>
      </w:r>
      <w:r>
        <w:rPr>
          <w:szCs w:val="22"/>
        </w:rPr>
        <w:t xml:space="preserve"> </w:t>
      </w:r>
      <w:r w:rsidRPr="0039513F">
        <w:rPr>
          <w:szCs w:val="22"/>
        </w:rPr>
        <w:t>evaluate its role in the regulation of the interactions between leukemic cells and the host immune system.</w:t>
      </w:r>
    </w:p>
    <w:p w14:paraId="5BE14C96" w14:textId="2668B33B" w:rsidR="0039513F" w:rsidRDefault="0039513F" w:rsidP="0039513F">
      <w:pPr>
        <w:pStyle w:val="DataField11pt-Single"/>
        <w:rPr>
          <w:szCs w:val="22"/>
        </w:rPr>
      </w:pPr>
      <w:r>
        <w:rPr>
          <w:szCs w:val="22"/>
        </w:rPr>
        <w:t xml:space="preserve">Aim 2: To </w:t>
      </w:r>
      <w:r w:rsidRPr="0039513F">
        <w:rPr>
          <w:szCs w:val="22"/>
        </w:rPr>
        <w:t>analyze the influence of</w:t>
      </w:r>
      <w:r w:rsidR="002B061A">
        <w:rPr>
          <w:szCs w:val="22"/>
        </w:rPr>
        <w:t xml:space="preserve"> the</w:t>
      </w:r>
      <w:r w:rsidRPr="0039513F">
        <w:rPr>
          <w:szCs w:val="22"/>
        </w:rPr>
        <w:t xml:space="preserve"> interaction</w:t>
      </w:r>
      <w:r w:rsidR="002B061A">
        <w:rPr>
          <w:szCs w:val="22"/>
        </w:rPr>
        <w:t>s</w:t>
      </w:r>
      <w:r w:rsidRPr="0039513F">
        <w:rPr>
          <w:szCs w:val="22"/>
        </w:rPr>
        <w:t xml:space="preserve"> between the genetic background of the host and tumor cell biology on the phenotypic</w:t>
      </w:r>
      <w:r>
        <w:rPr>
          <w:szCs w:val="22"/>
        </w:rPr>
        <w:t xml:space="preserve"> </w:t>
      </w:r>
      <w:r w:rsidRPr="0039513F">
        <w:rPr>
          <w:szCs w:val="22"/>
        </w:rPr>
        <w:t>heterogeneity of CLL</w:t>
      </w:r>
    </w:p>
    <w:p w14:paraId="60CBBFE2" w14:textId="77777777" w:rsidR="0039513F" w:rsidRPr="00B85597" w:rsidRDefault="0039513F" w:rsidP="0039513F">
      <w:pPr>
        <w:pStyle w:val="DataField11pt-Single"/>
        <w:rPr>
          <w:szCs w:val="22"/>
        </w:rPr>
      </w:pPr>
    </w:p>
    <w:p w14:paraId="31701ACF" w14:textId="77777777" w:rsidR="00455AD2" w:rsidRPr="008B3E2C" w:rsidRDefault="00455AD2" w:rsidP="00455AD2">
      <w:pPr>
        <w:pStyle w:val="DataField11pt-Single"/>
        <w:rPr>
          <w:b/>
          <w:szCs w:val="22"/>
        </w:rPr>
      </w:pPr>
      <w:r w:rsidRPr="008B3E2C">
        <w:rPr>
          <w:b/>
          <w:szCs w:val="22"/>
        </w:rPr>
        <w:t xml:space="preserve">Sponsor/ </w:t>
      </w:r>
      <w:r>
        <w:rPr>
          <w:b/>
          <w:szCs w:val="22"/>
        </w:rPr>
        <w:t xml:space="preserve">Italian Ministry of Health, Young Investigator </w:t>
      </w:r>
      <w:proofErr w:type="gramStart"/>
      <w:r>
        <w:rPr>
          <w:b/>
          <w:szCs w:val="22"/>
        </w:rPr>
        <w:t>call</w:t>
      </w:r>
      <w:proofErr w:type="gramEnd"/>
      <w:r>
        <w:rPr>
          <w:b/>
          <w:szCs w:val="22"/>
        </w:rPr>
        <w:t xml:space="preserve"> 2010</w:t>
      </w:r>
    </w:p>
    <w:p w14:paraId="34C15430" w14:textId="77777777" w:rsidR="00455AD2" w:rsidRPr="00B85597" w:rsidRDefault="00455AD2" w:rsidP="00455AD2">
      <w:pPr>
        <w:pStyle w:val="DataField11pt-Single"/>
        <w:rPr>
          <w:szCs w:val="22"/>
        </w:rPr>
      </w:pPr>
      <w:r w:rsidRPr="00B85597">
        <w:rPr>
          <w:szCs w:val="22"/>
        </w:rPr>
        <w:t xml:space="preserve">Grant Number </w:t>
      </w:r>
      <w:r w:rsidRPr="00EC0A58">
        <w:rPr>
          <w:szCs w:val="22"/>
        </w:rPr>
        <w:t>GR-2010-2317594</w:t>
      </w:r>
      <w:r w:rsidRPr="00B85597">
        <w:rPr>
          <w:szCs w:val="22"/>
        </w:rPr>
        <w:tab/>
      </w:r>
      <w:r w:rsidRPr="00B85597">
        <w:rPr>
          <w:szCs w:val="22"/>
        </w:rPr>
        <w:tab/>
      </w:r>
      <w:r w:rsidRPr="00B85597">
        <w:rPr>
          <w:szCs w:val="22"/>
        </w:rPr>
        <w:tab/>
      </w:r>
      <w:r w:rsidRPr="00B85597">
        <w:rPr>
          <w:szCs w:val="22"/>
        </w:rPr>
        <w:tab/>
      </w:r>
      <w:r w:rsidRPr="00B85597">
        <w:rPr>
          <w:szCs w:val="22"/>
        </w:rPr>
        <w:tab/>
      </w:r>
      <w:r w:rsidRPr="00B85597">
        <w:rPr>
          <w:szCs w:val="22"/>
        </w:rPr>
        <w:tab/>
      </w:r>
      <w:r>
        <w:rPr>
          <w:szCs w:val="22"/>
        </w:rPr>
        <w:t>Deaglio</w:t>
      </w:r>
      <w:r w:rsidRPr="00B85597">
        <w:rPr>
          <w:szCs w:val="22"/>
        </w:rPr>
        <w:t xml:space="preserve"> (</w:t>
      </w:r>
      <w:r>
        <w:rPr>
          <w:szCs w:val="22"/>
        </w:rPr>
        <w:t>co-</w:t>
      </w:r>
      <w:r w:rsidRPr="00B85597">
        <w:rPr>
          <w:szCs w:val="22"/>
        </w:rPr>
        <w:t>PI)</w:t>
      </w:r>
      <w:r w:rsidRPr="00B85597">
        <w:rPr>
          <w:szCs w:val="22"/>
        </w:rPr>
        <w:tab/>
      </w:r>
      <w:r w:rsidRPr="00B85597">
        <w:rPr>
          <w:szCs w:val="22"/>
        </w:rPr>
        <w:tab/>
        <w:t xml:space="preserve">    </w:t>
      </w:r>
      <w:r>
        <w:rPr>
          <w:szCs w:val="22"/>
        </w:rPr>
        <w:tab/>
      </w:r>
      <w:r>
        <w:rPr>
          <w:szCs w:val="22"/>
        </w:rPr>
        <w:tab/>
        <w:t>11/15/2013 - 11</w:t>
      </w:r>
      <w:r w:rsidRPr="00B85597">
        <w:rPr>
          <w:szCs w:val="22"/>
        </w:rPr>
        <w:t>/</w:t>
      </w:r>
      <w:r>
        <w:rPr>
          <w:szCs w:val="22"/>
        </w:rPr>
        <w:t>15/2015</w:t>
      </w:r>
    </w:p>
    <w:p w14:paraId="3A74EF22" w14:textId="15C7DE9C" w:rsidR="00455AD2" w:rsidRPr="000E50CD" w:rsidRDefault="00455AD2" w:rsidP="000E50CD">
      <w:pPr>
        <w:suppressAutoHyphens/>
        <w:jc w:val="both"/>
        <w:rPr>
          <w:szCs w:val="22"/>
        </w:rPr>
      </w:pPr>
      <w:r w:rsidRPr="00EC0A58">
        <w:rPr>
          <w:rFonts w:cs="Arial"/>
          <w:szCs w:val="22"/>
        </w:rPr>
        <w:t>Title: “New genetic lesions</w:t>
      </w:r>
      <w:r w:rsidRPr="00EC0A58">
        <w:rPr>
          <w:szCs w:val="22"/>
        </w:rPr>
        <w:t xml:space="preserve"> characterizing high risk chronic lymphocytic leukemia: clinical and functional    implications”</w:t>
      </w:r>
    </w:p>
    <w:p w14:paraId="3306C963" w14:textId="77777777" w:rsidR="00455AD2" w:rsidRPr="00B85597" w:rsidRDefault="00455AD2" w:rsidP="00455AD2">
      <w:pPr>
        <w:pStyle w:val="DataField11pt-Single"/>
        <w:rPr>
          <w:szCs w:val="22"/>
        </w:rPr>
      </w:pPr>
      <w:r w:rsidRPr="00B85597">
        <w:rPr>
          <w:szCs w:val="22"/>
        </w:rPr>
        <w:t xml:space="preserve">Objective: Multitask program designed to </w:t>
      </w:r>
      <w:r>
        <w:rPr>
          <w:szCs w:val="22"/>
        </w:rPr>
        <w:t>understand the functional role of the main genetic lesions characterizing chemotherapy-resistant CLL cases.</w:t>
      </w:r>
    </w:p>
    <w:p w14:paraId="2FB3CBAF" w14:textId="58B96E11" w:rsidR="000E50CD" w:rsidRDefault="000E50CD" w:rsidP="000E50CD">
      <w:pPr>
        <w:rPr>
          <w:szCs w:val="22"/>
        </w:rPr>
      </w:pPr>
    </w:p>
    <w:p w14:paraId="6BA4D7AE" w14:textId="77777777" w:rsidR="00A1387D" w:rsidRPr="008B3E2C" w:rsidRDefault="00A1387D" w:rsidP="00A1387D">
      <w:pPr>
        <w:pStyle w:val="DataField11pt-Single"/>
        <w:rPr>
          <w:b/>
          <w:szCs w:val="22"/>
        </w:rPr>
      </w:pPr>
      <w:r w:rsidRPr="008B3E2C">
        <w:rPr>
          <w:b/>
          <w:szCs w:val="22"/>
        </w:rPr>
        <w:t>Sponsor/</w:t>
      </w:r>
      <w:proofErr w:type="spellStart"/>
      <w:r>
        <w:rPr>
          <w:b/>
          <w:szCs w:val="22"/>
        </w:rPr>
        <w:t>Cariplo</w:t>
      </w:r>
      <w:proofErr w:type="spellEnd"/>
      <w:r>
        <w:rPr>
          <w:b/>
          <w:szCs w:val="22"/>
        </w:rPr>
        <w:t xml:space="preserve"> Foundation – Biomedical Research Grants </w:t>
      </w:r>
    </w:p>
    <w:p w14:paraId="2DF327D2" w14:textId="77777777" w:rsidR="00A1387D" w:rsidRPr="00B85597" w:rsidRDefault="00A1387D" w:rsidP="00A1387D">
      <w:pPr>
        <w:pStyle w:val="DataField11pt-Single"/>
        <w:rPr>
          <w:szCs w:val="22"/>
        </w:rPr>
      </w:pPr>
      <w:r w:rsidRPr="00B85597">
        <w:rPr>
          <w:szCs w:val="22"/>
        </w:rPr>
        <w:t>Grant Number</w:t>
      </w:r>
      <w:r w:rsidRPr="00B85597">
        <w:rPr>
          <w:szCs w:val="22"/>
        </w:rPr>
        <w:tab/>
      </w:r>
      <w:r w:rsidRPr="00B85597">
        <w:rPr>
          <w:szCs w:val="22"/>
        </w:rPr>
        <w:tab/>
      </w:r>
      <w:r w:rsidRPr="00B85597">
        <w:rPr>
          <w:szCs w:val="22"/>
        </w:rPr>
        <w:tab/>
      </w:r>
      <w:r>
        <w:rPr>
          <w:szCs w:val="22"/>
        </w:rPr>
        <w:t xml:space="preserve">Deaglio </w:t>
      </w:r>
      <w:r w:rsidRPr="00B85597">
        <w:rPr>
          <w:szCs w:val="22"/>
        </w:rPr>
        <w:t>(</w:t>
      </w:r>
      <w:r>
        <w:rPr>
          <w:szCs w:val="22"/>
        </w:rPr>
        <w:t>co-</w:t>
      </w:r>
      <w:r w:rsidRPr="00B85597">
        <w:rPr>
          <w:szCs w:val="22"/>
        </w:rPr>
        <w:t>PI)</w:t>
      </w:r>
      <w:r w:rsidRPr="00B8559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01/01/2014</w:t>
      </w:r>
      <w:r w:rsidRPr="00B85597">
        <w:rPr>
          <w:szCs w:val="22"/>
        </w:rPr>
        <w:t xml:space="preserve"> - </w:t>
      </w:r>
      <w:r>
        <w:rPr>
          <w:szCs w:val="22"/>
        </w:rPr>
        <w:t>4/30/2016</w:t>
      </w:r>
    </w:p>
    <w:p w14:paraId="644B75A2" w14:textId="77777777" w:rsidR="00A1387D" w:rsidRPr="00455AD2" w:rsidRDefault="00A1387D" w:rsidP="00A1387D">
      <w:pPr>
        <w:suppressAutoHyphens/>
        <w:ind w:left="90"/>
        <w:jc w:val="both"/>
        <w:rPr>
          <w:rFonts w:cs="Arial"/>
          <w:szCs w:val="22"/>
        </w:rPr>
      </w:pPr>
      <w:r w:rsidRPr="00455AD2">
        <w:rPr>
          <w:rFonts w:cs="Arial"/>
          <w:szCs w:val="22"/>
        </w:rPr>
        <w:t xml:space="preserve">Title: “Deciphering the molecular basis of splenic marginal zone lymphoma by whole </w:t>
      </w:r>
      <w:proofErr w:type="spellStart"/>
      <w:r w:rsidRPr="00455AD2">
        <w:rPr>
          <w:rFonts w:cs="Arial"/>
          <w:szCs w:val="22"/>
        </w:rPr>
        <w:t>exome</w:t>
      </w:r>
      <w:proofErr w:type="spellEnd"/>
      <w:r w:rsidRPr="00455AD2">
        <w:rPr>
          <w:rFonts w:cs="Arial"/>
          <w:szCs w:val="22"/>
        </w:rPr>
        <w:t xml:space="preserve"> sequencing and functional genomics”.</w:t>
      </w:r>
    </w:p>
    <w:p w14:paraId="3DECB998" w14:textId="77777777" w:rsidR="00A1387D" w:rsidRPr="00B85597" w:rsidRDefault="00A1387D" w:rsidP="00A1387D">
      <w:pPr>
        <w:pStyle w:val="DataField11pt-Single"/>
        <w:rPr>
          <w:szCs w:val="22"/>
        </w:rPr>
      </w:pPr>
      <w:r w:rsidRPr="00B85597">
        <w:rPr>
          <w:szCs w:val="22"/>
        </w:rPr>
        <w:t xml:space="preserve">Objective: </w:t>
      </w:r>
      <w:r>
        <w:rPr>
          <w:szCs w:val="22"/>
        </w:rPr>
        <w:t>Functional genomics studies to characterize the most common genetic mutations in SMZL patients</w:t>
      </w:r>
    </w:p>
    <w:p w14:paraId="3D98CBB8" w14:textId="77777777" w:rsidR="00A1387D" w:rsidRPr="00B85597" w:rsidRDefault="00A1387D" w:rsidP="00A1387D">
      <w:pPr>
        <w:pStyle w:val="DataField11pt-Single"/>
        <w:rPr>
          <w:szCs w:val="22"/>
        </w:rPr>
      </w:pPr>
    </w:p>
    <w:p w14:paraId="29CC20F8" w14:textId="77777777" w:rsidR="00A1387D" w:rsidRPr="008B3E2C" w:rsidRDefault="00A1387D" w:rsidP="00A1387D">
      <w:pPr>
        <w:pStyle w:val="DataField11pt-Single"/>
        <w:rPr>
          <w:b/>
          <w:szCs w:val="22"/>
        </w:rPr>
      </w:pPr>
      <w:r w:rsidRPr="008B3E2C">
        <w:rPr>
          <w:b/>
          <w:szCs w:val="22"/>
        </w:rPr>
        <w:t xml:space="preserve">Sponsor/ </w:t>
      </w:r>
      <w:r>
        <w:rPr>
          <w:b/>
          <w:szCs w:val="22"/>
        </w:rPr>
        <w:t xml:space="preserve">Italian Ministry of Education, </w:t>
      </w:r>
      <w:proofErr w:type="spellStart"/>
      <w:r>
        <w:rPr>
          <w:b/>
          <w:szCs w:val="22"/>
        </w:rPr>
        <w:t>Futuro</w:t>
      </w:r>
      <w:proofErr w:type="spellEnd"/>
      <w:r>
        <w:rPr>
          <w:b/>
          <w:szCs w:val="22"/>
        </w:rPr>
        <w:t xml:space="preserve"> in </w:t>
      </w:r>
      <w:proofErr w:type="spellStart"/>
      <w:r>
        <w:rPr>
          <w:b/>
          <w:szCs w:val="22"/>
        </w:rPr>
        <w:t>ricerca</w:t>
      </w:r>
      <w:proofErr w:type="spellEnd"/>
      <w:r>
        <w:rPr>
          <w:b/>
          <w:szCs w:val="22"/>
        </w:rPr>
        <w:t xml:space="preserve"> 2012 grant</w:t>
      </w:r>
    </w:p>
    <w:p w14:paraId="17199CBE" w14:textId="77777777" w:rsidR="00A1387D" w:rsidRPr="00B85597" w:rsidRDefault="00A1387D" w:rsidP="00A1387D">
      <w:pPr>
        <w:pStyle w:val="DataField11pt-Single"/>
        <w:rPr>
          <w:szCs w:val="22"/>
        </w:rPr>
      </w:pPr>
      <w:r w:rsidRPr="00B85597">
        <w:rPr>
          <w:szCs w:val="22"/>
        </w:rPr>
        <w:t xml:space="preserve">Grant Number </w:t>
      </w:r>
      <w:r w:rsidRPr="00EC0A58">
        <w:rPr>
          <w:szCs w:val="22"/>
        </w:rPr>
        <w:t>RBFR12D1CB</w:t>
      </w:r>
      <w:r w:rsidRPr="00B85597">
        <w:rPr>
          <w:szCs w:val="22"/>
        </w:rPr>
        <w:tab/>
      </w:r>
      <w:r w:rsidRPr="00B85597">
        <w:rPr>
          <w:szCs w:val="22"/>
        </w:rPr>
        <w:tab/>
      </w:r>
      <w:r>
        <w:rPr>
          <w:szCs w:val="22"/>
        </w:rPr>
        <w:tab/>
      </w:r>
      <w:r w:rsidRPr="00B85597">
        <w:rPr>
          <w:szCs w:val="22"/>
        </w:rPr>
        <w:tab/>
      </w:r>
      <w:r w:rsidRPr="00B85597">
        <w:rPr>
          <w:szCs w:val="22"/>
        </w:rPr>
        <w:tab/>
      </w:r>
      <w:r>
        <w:rPr>
          <w:szCs w:val="22"/>
        </w:rPr>
        <w:t>Deaglio</w:t>
      </w:r>
      <w:r w:rsidRPr="00B85597">
        <w:rPr>
          <w:szCs w:val="22"/>
        </w:rPr>
        <w:t xml:space="preserve"> (</w:t>
      </w:r>
      <w:r>
        <w:rPr>
          <w:szCs w:val="22"/>
        </w:rPr>
        <w:t>co-</w:t>
      </w:r>
      <w:r w:rsidRPr="00B85597">
        <w:rPr>
          <w:szCs w:val="22"/>
        </w:rPr>
        <w:t>PI)</w:t>
      </w:r>
      <w:r w:rsidRPr="00B85597">
        <w:rPr>
          <w:szCs w:val="22"/>
        </w:rPr>
        <w:tab/>
      </w:r>
      <w:r w:rsidRPr="00B85597">
        <w:rPr>
          <w:szCs w:val="22"/>
        </w:rPr>
        <w:tab/>
        <w:t xml:space="preserve">    </w:t>
      </w:r>
      <w:r>
        <w:rPr>
          <w:szCs w:val="22"/>
        </w:rPr>
        <w:tab/>
      </w:r>
      <w:r>
        <w:rPr>
          <w:szCs w:val="22"/>
        </w:rPr>
        <w:tab/>
      </w:r>
      <w:r>
        <w:rPr>
          <w:szCs w:val="22"/>
        </w:rPr>
        <w:tab/>
      </w:r>
      <w:r>
        <w:rPr>
          <w:szCs w:val="22"/>
        </w:rPr>
        <w:tab/>
        <w:t>03/31/2014 - 03</w:t>
      </w:r>
      <w:r w:rsidRPr="00B85597">
        <w:rPr>
          <w:szCs w:val="22"/>
        </w:rPr>
        <w:t>/31/2016</w:t>
      </w:r>
    </w:p>
    <w:p w14:paraId="4C9EE5E9" w14:textId="77777777" w:rsidR="00A1387D" w:rsidRPr="00EC0A58" w:rsidRDefault="00A1387D" w:rsidP="00A1387D">
      <w:pPr>
        <w:suppressAutoHyphens/>
        <w:jc w:val="both"/>
        <w:rPr>
          <w:rFonts w:cs="Arial"/>
          <w:szCs w:val="22"/>
        </w:rPr>
      </w:pPr>
      <w:r w:rsidRPr="00B85597">
        <w:rPr>
          <w:szCs w:val="22"/>
        </w:rPr>
        <w:t xml:space="preserve">Title: </w:t>
      </w:r>
      <w:r w:rsidRPr="00EC0A58">
        <w:rPr>
          <w:rFonts w:cs="Arial"/>
          <w:szCs w:val="22"/>
        </w:rPr>
        <w:t>“Identification and functional characterization of genomic lesions in lymphoid malignancies”</w:t>
      </w:r>
    </w:p>
    <w:p w14:paraId="06E70107" w14:textId="77777777" w:rsidR="00A1387D" w:rsidRDefault="00A1387D" w:rsidP="00A1387D">
      <w:pPr>
        <w:pStyle w:val="DataField11pt-Single"/>
        <w:rPr>
          <w:szCs w:val="22"/>
        </w:rPr>
      </w:pPr>
      <w:r w:rsidRPr="00B85597">
        <w:rPr>
          <w:szCs w:val="22"/>
        </w:rPr>
        <w:t xml:space="preserve">Objective: Multitask program designed to characterize the molecular event leading to transformation of </w:t>
      </w:r>
      <w:r>
        <w:rPr>
          <w:szCs w:val="22"/>
        </w:rPr>
        <w:t xml:space="preserve">chronic </w:t>
      </w:r>
      <w:proofErr w:type="spellStart"/>
      <w:r>
        <w:rPr>
          <w:szCs w:val="22"/>
        </w:rPr>
        <w:t>lympohocytic</w:t>
      </w:r>
      <w:proofErr w:type="spellEnd"/>
      <w:r>
        <w:rPr>
          <w:szCs w:val="22"/>
        </w:rPr>
        <w:t xml:space="preserve"> leukemia and splenic marginal zone lymphoma</w:t>
      </w:r>
      <w:r w:rsidRPr="00B85597">
        <w:rPr>
          <w:szCs w:val="22"/>
        </w:rPr>
        <w:t>.</w:t>
      </w:r>
    </w:p>
    <w:p w14:paraId="5CE22B52" w14:textId="77777777" w:rsidR="00A1387D" w:rsidRPr="00B85597" w:rsidRDefault="00A1387D" w:rsidP="000E50CD">
      <w:pPr>
        <w:rPr>
          <w:szCs w:val="22"/>
        </w:rPr>
      </w:pPr>
    </w:p>
    <w:sectPr w:rsidR="00A1387D" w:rsidRPr="00B85597" w:rsidSect="00EA1D22">
      <w:footerReference w:type="default" r:id="rId16"/>
      <w:type w:val="continuous"/>
      <w:pgSz w:w="12240" w:h="15840" w:code="1"/>
      <w:pgMar w:top="1152" w:right="810" w:bottom="720" w:left="720" w:header="720" w:footer="72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C4467" w14:textId="77777777" w:rsidR="007F28AD" w:rsidRDefault="007F28AD">
      <w:r>
        <w:separator/>
      </w:r>
    </w:p>
  </w:endnote>
  <w:endnote w:type="continuationSeparator" w:id="0">
    <w:p w14:paraId="1F06BDB0" w14:textId="77777777" w:rsidR="007F28AD" w:rsidRDefault="007F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7DA5" w14:textId="5988730B" w:rsidR="007F28AD" w:rsidRDefault="007F28AD" w:rsidP="00D74391">
    <w:pPr>
      <w:pStyle w:val="FormFooterBorder"/>
    </w:pPr>
    <w:r>
      <w:t>PHS 398/2590 (Rev. 06/09)</w:t>
    </w:r>
    <w:r>
      <w:tab/>
      <w:t xml:space="preserve">Page </w:t>
    </w:r>
    <w:r>
      <w:rPr>
        <w:rStyle w:val="Numeropagina"/>
      </w:rPr>
      <w:t xml:space="preserve">  1  </w:t>
    </w:r>
    <w:r>
      <w:tab/>
    </w:r>
    <w:r>
      <w:rPr>
        <w:b/>
        <w:bCs/>
      </w:rPr>
      <w:t>Biographical Sketch Format 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7DDAE" w14:textId="77777777" w:rsidR="007F28AD" w:rsidRDefault="007F28AD">
    <w:pPr>
      <w:pStyle w:val="FormFooterBorder"/>
    </w:pPr>
    <w:r>
      <w:t>PHS 398/2590 (Rev. 06/09)</w:t>
    </w:r>
    <w:r>
      <w:tab/>
      <w:t xml:space="preserve">Page </w:t>
    </w:r>
    <w:r>
      <w:rPr>
        <w:rStyle w:val="Numeropagina"/>
      </w:rPr>
      <w:t xml:space="preserve">    </w:t>
    </w:r>
    <w:r>
      <w:tab/>
    </w:r>
    <w:r>
      <w:rPr>
        <w:b/>
        <w:bCs/>
      </w:rPr>
      <w:t>Biographical Sketch Format Page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2858" w14:textId="539DF142" w:rsidR="007F28AD" w:rsidRPr="00C4536F" w:rsidRDefault="007F28AD">
    <w:pPr>
      <w:pStyle w:val="FormFooterBorder"/>
      <w:rPr>
        <w:lang w:val="fr-FR"/>
      </w:rPr>
    </w:pPr>
    <w:r w:rsidRPr="00C4536F">
      <w:rPr>
        <w:lang w:val="fr-FR"/>
      </w:rPr>
      <w:tab/>
      <w:t xml:space="preserve">Page </w:t>
    </w:r>
    <w:r w:rsidRPr="00C4536F">
      <w:rPr>
        <w:rStyle w:val="Numeropagina"/>
        <w:lang w:val="fr-FR"/>
      </w:rPr>
      <w:t xml:space="preserve"> </w:t>
    </w:r>
    <w:r>
      <w:rPr>
        <w:rStyle w:val="Numeropagina"/>
        <w:lang w:val="fr-FR"/>
      </w:rPr>
      <w:t>5</w:t>
    </w:r>
    <w:r w:rsidRPr="00C4536F">
      <w:rPr>
        <w:rStyle w:val="Numeropagina"/>
        <w:lang w:val="fr-FR"/>
      </w:rPr>
      <w:t xml:space="preserve"> </w:t>
    </w:r>
    <w:r w:rsidRPr="00C4536F">
      <w:rPr>
        <w:lang w:val="fr-FR"/>
      </w:rPr>
      <w:tab/>
    </w:r>
    <w:r w:rsidRPr="00C4536F">
      <w:rPr>
        <w:b/>
        <w:bCs/>
        <w:lang w:val="fr-FR"/>
      </w:rPr>
      <w:t>Continuation Format Page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0887" w14:textId="77777777" w:rsidR="007F28AD" w:rsidRPr="00C4536F" w:rsidRDefault="007F28AD">
    <w:pPr>
      <w:pStyle w:val="FormFooterBorder"/>
      <w:rPr>
        <w:lang w:val="fr-FR"/>
      </w:rPr>
    </w:pPr>
    <w:r>
      <w:rPr>
        <w:lang w:val="fr-FR"/>
      </w:rPr>
      <w:t>PHS 398/2590 (</w:t>
    </w:r>
    <w:proofErr w:type="spellStart"/>
    <w:r>
      <w:rPr>
        <w:lang w:val="fr-FR"/>
      </w:rPr>
      <w:t>Rev</w:t>
    </w:r>
    <w:proofErr w:type="spellEnd"/>
    <w:r>
      <w:rPr>
        <w:lang w:val="fr-FR"/>
      </w:rPr>
      <w:t>. 06/09</w:t>
    </w:r>
    <w:r w:rsidRPr="00C4536F">
      <w:rPr>
        <w:lang w:val="fr-FR"/>
      </w:rPr>
      <w:t>)</w:t>
    </w:r>
    <w:r w:rsidRPr="00C4536F">
      <w:rPr>
        <w:lang w:val="fr-FR"/>
      </w:rPr>
      <w:tab/>
      <w:t xml:space="preserve">Page </w:t>
    </w:r>
    <w:r w:rsidRPr="00C4536F">
      <w:rPr>
        <w:rStyle w:val="Numeropagina"/>
        <w:lang w:val="fr-FR"/>
      </w:rPr>
      <w:t xml:space="preserve">  </w:t>
    </w:r>
    <w:r w:rsidRPr="00E67A05">
      <w:rPr>
        <w:rStyle w:val="Numeropagina"/>
        <w:lang w:val="fr-FR"/>
      </w:rPr>
      <w:fldChar w:fldCharType="begin"/>
    </w:r>
    <w:r w:rsidRPr="00E67A05">
      <w:rPr>
        <w:rStyle w:val="Numeropagina"/>
        <w:lang w:val="fr-FR"/>
      </w:rPr>
      <w:instrText xml:space="preserve"> PAGE   \* MERGEFORMAT </w:instrText>
    </w:r>
    <w:r w:rsidRPr="00E67A05">
      <w:rPr>
        <w:rStyle w:val="Numeropagina"/>
        <w:lang w:val="fr-FR"/>
      </w:rPr>
      <w:fldChar w:fldCharType="separate"/>
    </w:r>
    <w:r>
      <w:rPr>
        <w:rStyle w:val="Numeropagina"/>
        <w:noProof/>
        <w:lang w:val="fr-FR"/>
      </w:rPr>
      <w:t>5</w:t>
    </w:r>
    <w:r w:rsidRPr="00E67A05">
      <w:rPr>
        <w:rStyle w:val="Numeropagina"/>
        <w:lang w:val="fr-FR"/>
      </w:rPr>
      <w:fldChar w:fldCharType="end"/>
    </w:r>
    <w:r w:rsidRPr="00C4536F">
      <w:rPr>
        <w:rStyle w:val="Numeropagina"/>
        <w:lang w:val="fr-FR"/>
      </w:rPr>
      <w:t xml:space="preserve">  </w:t>
    </w:r>
    <w:r w:rsidRPr="00C4536F">
      <w:rPr>
        <w:lang w:val="fr-FR"/>
      </w:rPr>
      <w:tab/>
    </w:r>
    <w:r>
      <w:rPr>
        <w:b/>
        <w:bCs/>
      </w:rPr>
      <w:t>Biographical Sketch Format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C01FE" w14:textId="77777777" w:rsidR="007F28AD" w:rsidRDefault="007F28AD">
      <w:r>
        <w:separator/>
      </w:r>
    </w:p>
  </w:footnote>
  <w:footnote w:type="continuationSeparator" w:id="0">
    <w:p w14:paraId="34171FA0" w14:textId="77777777" w:rsidR="007F28AD" w:rsidRDefault="007F28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7E517" w14:textId="0F1EA838" w:rsidR="007F28AD" w:rsidRPr="002E5125" w:rsidRDefault="007F28AD">
    <w:pPr>
      <w:pStyle w:val="PIHeader"/>
      <w:rPr>
        <w:rStyle w:val="DataField11pt-SingleChar"/>
      </w:rPr>
    </w:pPr>
    <w:r>
      <w:t>(Last, First, Middle)</w:t>
    </w:r>
    <w:r>
      <w:rPr>
        <w:rStyle w:val="DataField11pt-SingleChar"/>
      </w:rPr>
      <w:t>: Deaglio, Silvia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7F28AD" w14:paraId="7089B850" w14:textId="77777777">
      <w:trPr>
        <w:trHeight w:hRule="exact" w:val="360"/>
        <w:jc w:val="center"/>
      </w:trPr>
      <w:tc>
        <w:tcPr>
          <w:tcW w:w="5328" w:type="dxa"/>
          <w:tcBorders>
            <w:left w:val="nil"/>
            <w:right w:val="nil"/>
          </w:tcBorders>
          <w:vAlign w:val="bottom"/>
        </w:tcPr>
        <w:p w14:paraId="657C8A00" w14:textId="77777777" w:rsidR="007F28AD" w:rsidRDefault="007F28AD" w:rsidP="00CE0951">
          <w:pPr>
            <w:pStyle w:val="PIHeader"/>
          </w:pPr>
          <w:r>
            <w:t>Principal Investigator/Program Director (Last, First, Middle):</w:t>
          </w:r>
        </w:p>
      </w:tc>
      <w:tc>
        <w:tcPr>
          <w:tcW w:w="5328" w:type="dxa"/>
          <w:tcBorders>
            <w:left w:val="nil"/>
            <w:right w:val="nil"/>
          </w:tcBorders>
          <w:vAlign w:val="center"/>
        </w:tcPr>
        <w:p w14:paraId="75C70EA5" w14:textId="77777777" w:rsidR="007F28AD" w:rsidRDefault="007F28AD" w:rsidP="00CE0951">
          <w:pPr>
            <w:pStyle w:val="DataField11pt-Single"/>
          </w:pPr>
        </w:p>
      </w:tc>
    </w:tr>
  </w:tbl>
  <w:p w14:paraId="6E70D650" w14:textId="77777777" w:rsidR="007F28AD" w:rsidRDefault="007F28AD">
    <w:pPr>
      <w:pStyle w:val="Intestazione"/>
      <w:tabs>
        <w:tab w:val="clear" w:pos="8640"/>
        <w:tab w:val="right" w:pos="10800"/>
      </w:tabs>
      <w:spacing w:line="2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Numeroelenco5"/>
      <w:lvlText w:val="%1."/>
      <w:lvlJc w:val="left"/>
      <w:pPr>
        <w:tabs>
          <w:tab w:val="num" w:pos="1800"/>
        </w:tabs>
        <w:ind w:left="1800" w:hanging="360"/>
      </w:pPr>
    </w:lvl>
  </w:abstractNum>
  <w:abstractNum w:abstractNumId="1">
    <w:nsid w:val="FFFFFF7D"/>
    <w:multiLevelType w:val="singleLevel"/>
    <w:tmpl w:val="FD009D2A"/>
    <w:lvl w:ilvl="0">
      <w:start w:val="1"/>
      <w:numFmt w:val="decimal"/>
      <w:pStyle w:val="Numeroelenco4"/>
      <w:lvlText w:val="%1."/>
      <w:lvlJc w:val="left"/>
      <w:pPr>
        <w:tabs>
          <w:tab w:val="num" w:pos="1440"/>
        </w:tabs>
        <w:ind w:left="1440" w:hanging="360"/>
      </w:pPr>
    </w:lvl>
  </w:abstractNum>
  <w:abstractNum w:abstractNumId="2">
    <w:nsid w:val="FFFFFF7E"/>
    <w:multiLevelType w:val="singleLevel"/>
    <w:tmpl w:val="04488676"/>
    <w:lvl w:ilvl="0">
      <w:start w:val="1"/>
      <w:numFmt w:val="decimal"/>
      <w:pStyle w:val="Numeroelenco3"/>
      <w:lvlText w:val="%1."/>
      <w:lvlJc w:val="left"/>
      <w:pPr>
        <w:tabs>
          <w:tab w:val="num" w:pos="1080"/>
        </w:tabs>
        <w:ind w:left="1080" w:hanging="360"/>
      </w:pPr>
    </w:lvl>
  </w:abstractNum>
  <w:abstractNum w:abstractNumId="3">
    <w:nsid w:val="FFFFFF7F"/>
    <w:multiLevelType w:val="singleLevel"/>
    <w:tmpl w:val="2C6EE5CE"/>
    <w:lvl w:ilvl="0">
      <w:start w:val="1"/>
      <w:numFmt w:val="decimal"/>
      <w:pStyle w:val="Numeroelenco2"/>
      <w:lvlText w:val="%1."/>
      <w:lvlJc w:val="left"/>
      <w:pPr>
        <w:tabs>
          <w:tab w:val="num" w:pos="720"/>
        </w:tabs>
        <w:ind w:left="720" w:hanging="360"/>
      </w:pPr>
    </w:lvl>
  </w:abstractNum>
  <w:abstractNum w:abstractNumId="4">
    <w:nsid w:val="FFFFFF80"/>
    <w:multiLevelType w:val="singleLevel"/>
    <w:tmpl w:val="AB86BCA8"/>
    <w:lvl w:ilvl="0">
      <w:start w:val="1"/>
      <w:numFmt w:val="bullet"/>
      <w:pStyle w:val="Puntoelenco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Puntoelenco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Puntoelenco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Puntoelenco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9C26D018"/>
    <w:lvl w:ilvl="0">
      <w:start w:val="1"/>
      <w:numFmt w:val="bullet"/>
      <w:pStyle w:val="Puntoelenco"/>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283"/>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608C"/>
    <w:rsid w:val="00007231"/>
    <w:rsid w:val="00023A7A"/>
    <w:rsid w:val="00067621"/>
    <w:rsid w:val="00080228"/>
    <w:rsid w:val="000B1C16"/>
    <w:rsid w:val="000E50CD"/>
    <w:rsid w:val="00116F7D"/>
    <w:rsid w:val="00117611"/>
    <w:rsid w:val="00122EB3"/>
    <w:rsid w:val="001360A5"/>
    <w:rsid w:val="0014571A"/>
    <w:rsid w:val="00162882"/>
    <w:rsid w:val="00170D87"/>
    <w:rsid w:val="00197035"/>
    <w:rsid w:val="001A3F63"/>
    <w:rsid w:val="001D58F8"/>
    <w:rsid w:val="001E320E"/>
    <w:rsid w:val="00202F6F"/>
    <w:rsid w:val="00206620"/>
    <w:rsid w:val="00221FD6"/>
    <w:rsid w:val="0024784C"/>
    <w:rsid w:val="00264E61"/>
    <w:rsid w:val="00277EEE"/>
    <w:rsid w:val="0028051C"/>
    <w:rsid w:val="002B061A"/>
    <w:rsid w:val="002E5125"/>
    <w:rsid w:val="00320759"/>
    <w:rsid w:val="00341E5C"/>
    <w:rsid w:val="0035045F"/>
    <w:rsid w:val="00350E78"/>
    <w:rsid w:val="00382AB6"/>
    <w:rsid w:val="003926B1"/>
    <w:rsid w:val="0039513F"/>
    <w:rsid w:val="003C2647"/>
    <w:rsid w:val="003D2399"/>
    <w:rsid w:val="003D61EE"/>
    <w:rsid w:val="003E4D88"/>
    <w:rsid w:val="003F6A45"/>
    <w:rsid w:val="00403B14"/>
    <w:rsid w:val="00432346"/>
    <w:rsid w:val="00435014"/>
    <w:rsid w:val="00436350"/>
    <w:rsid w:val="00447F3A"/>
    <w:rsid w:val="00455AD2"/>
    <w:rsid w:val="0046530F"/>
    <w:rsid w:val="00470630"/>
    <w:rsid w:val="004759D9"/>
    <w:rsid w:val="00485802"/>
    <w:rsid w:val="0048755B"/>
    <w:rsid w:val="0049068A"/>
    <w:rsid w:val="004A3FC8"/>
    <w:rsid w:val="004D06BC"/>
    <w:rsid w:val="004E09DD"/>
    <w:rsid w:val="004E1AB8"/>
    <w:rsid w:val="004F0F0A"/>
    <w:rsid w:val="004F15C1"/>
    <w:rsid w:val="0050278C"/>
    <w:rsid w:val="00503B57"/>
    <w:rsid w:val="005145BB"/>
    <w:rsid w:val="00517BFD"/>
    <w:rsid w:val="0054471F"/>
    <w:rsid w:val="00547AC9"/>
    <w:rsid w:val="00561173"/>
    <w:rsid w:val="0057387A"/>
    <w:rsid w:val="00592740"/>
    <w:rsid w:val="005C2BDD"/>
    <w:rsid w:val="005C47A8"/>
    <w:rsid w:val="005E17F9"/>
    <w:rsid w:val="005F5F51"/>
    <w:rsid w:val="00600A13"/>
    <w:rsid w:val="00601C69"/>
    <w:rsid w:val="00612C55"/>
    <w:rsid w:val="00616BCC"/>
    <w:rsid w:val="00624261"/>
    <w:rsid w:val="00634DA5"/>
    <w:rsid w:val="00646AF9"/>
    <w:rsid w:val="006609B6"/>
    <w:rsid w:val="00664854"/>
    <w:rsid w:val="00667369"/>
    <w:rsid w:val="006721ED"/>
    <w:rsid w:val="006725B6"/>
    <w:rsid w:val="0068699D"/>
    <w:rsid w:val="00694E92"/>
    <w:rsid w:val="006A56FC"/>
    <w:rsid w:val="006B2D1C"/>
    <w:rsid w:val="006B3226"/>
    <w:rsid w:val="006C1E1F"/>
    <w:rsid w:val="00702DDB"/>
    <w:rsid w:val="007050F5"/>
    <w:rsid w:val="0071140F"/>
    <w:rsid w:val="007228E6"/>
    <w:rsid w:val="00722C8F"/>
    <w:rsid w:val="00737637"/>
    <w:rsid w:val="00760D9A"/>
    <w:rsid w:val="00781234"/>
    <w:rsid w:val="007B4502"/>
    <w:rsid w:val="007B7AF3"/>
    <w:rsid w:val="007B7C4B"/>
    <w:rsid w:val="007C60A0"/>
    <w:rsid w:val="007F0BD8"/>
    <w:rsid w:val="007F28AD"/>
    <w:rsid w:val="007F3BEC"/>
    <w:rsid w:val="007F5259"/>
    <w:rsid w:val="00800B8F"/>
    <w:rsid w:val="008073EB"/>
    <w:rsid w:val="00825D65"/>
    <w:rsid w:val="00843027"/>
    <w:rsid w:val="008519D8"/>
    <w:rsid w:val="00853668"/>
    <w:rsid w:val="00874EBC"/>
    <w:rsid w:val="00881BCA"/>
    <w:rsid w:val="008B3E2C"/>
    <w:rsid w:val="008B6BB7"/>
    <w:rsid w:val="008C3073"/>
    <w:rsid w:val="00906C80"/>
    <w:rsid w:val="009165D9"/>
    <w:rsid w:val="00920C61"/>
    <w:rsid w:val="009211D3"/>
    <w:rsid w:val="00934124"/>
    <w:rsid w:val="00937470"/>
    <w:rsid w:val="00944838"/>
    <w:rsid w:val="009539E8"/>
    <w:rsid w:val="0095478C"/>
    <w:rsid w:val="00995D55"/>
    <w:rsid w:val="009C772F"/>
    <w:rsid w:val="009D307D"/>
    <w:rsid w:val="009D7E97"/>
    <w:rsid w:val="009E394E"/>
    <w:rsid w:val="009F53BB"/>
    <w:rsid w:val="009F72E5"/>
    <w:rsid w:val="00A04942"/>
    <w:rsid w:val="00A04B52"/>
    <w:rsid w:val="00A05676"/>
    <w:rsid w:val="00A1387D"/>
    <w:rsid w:val="00A14EF5"/>
    <w:rsid w:val="00A26D0F"/>
    <w:rsid w:val="00A42D9B"/>
    <w:rsid w:val="00A430E4"/>
    <w:rsid w:val="00A612D3"/>
    <w:rsid w:val="00A8122C"/>
    <w:rsid w:val="00A83312"/>
    <w:rsid w:val="00AC3FDC"/>
    <w:rsid w:val="00AD1ADB"/>
    <w:rsid w:val="00AE41C4"/>
    <w:rsid w:val="00AE56D8"/>
    <w:rsid w:val="00AF0029"/>
    <w:rsid w:val="00B30DB1"/>
    <w:rsid w:val="00B314FD"/>
    <w:rsid w:val="00B7125F"/>
    <w:rsid w:val="00B85597"/>
    <w:rsid w:val="00BA0557"/>
    <w:rsid w:val="00BC532F"/>
    <w:rsid w:val="00C05C55"/>
    <w:rsid w:val="00C076C6"/>
    <w:rsid w:val="00C11D45"/>
    <w:rsid w:val="00C137DA"/>
    <w:rsid w:val="00C20825"/>
    <w:rsid w:val="00C3113F"/>
    <w:rsid w:val="00C4536F"/>
    <w:rsid w:val="00C45F94"/>
    <w:rsid w:val="00C46ADA"/>
    <w:rsid w:val="00C52E1A"/>
    <w:rsid w:val="00C70D32"/>
    <w:rsid w:val="00C84DE3"/>
    <w:rsid w:val="00C85025"/>
    <w:rsid w:val="00C918BD"/>
    <w:rsid w:val="00C92A86"/>
    <w:rsid w:val="00CA0815"/>
    <w:rsid w:val="00CA680A"/>
    <w:rsid w:val="00CE0951"/>
    <w:rsid w:val="00CF6288"/>
    <w:rsid w:val="00CF68A2"/>
    <w:rsid w:val="00D236AF"/>
    <w:rsid w:val="00D54380"/>
    <w:rsid w:val="00D679E5"/>
    <w:rsid w:val="00D74391"/>
    <w:rsid w:val="00D81FEA"/>
    <w:rsid w:val="00D83360"/>
    <w:rsid w:val="00DB149A"/>
    <w:rsid w:val="00DD31B4"/>
    <w:rsid w:val="00DD4C78"/>
    <w:rsid w:val="00DD4F0E"/>
    <w:rsid w:val="00DF36B9"/>
    <w:rsid w:val="00DF47A3"/>
    <w:rsid w:val="00E06C66"/>
    <w:rsid w:val="00E1715D"/>
    <w:rsid w:val="00E21E2F"/>
    <w:rsid w:val="00E26CF3"/>
    <w:rsid w:val="00E355C2"/>
    <w:rsid w:val="00E42BAA"/>
    <w:rsid w:val="00E62577"/>
    <w:rsid w:val="00E67A05"/>
    <w:rsid w:val="00E74AB7"/>
    <w:rsid w:val="00E81FE1"/>
    <w:rsid w:val="00E90203"/>
    <w:rsid w:val="00EA1D22"/>
    <w:rsid w:val="00EC0A58"/>
    <w:rsid w:val="00EF29DD"/>
    <w:rsid w:val="00EF3D06"/>
    <w:rsid w:val="00EF4C32"/>
    <w:rsid w:val="00EF69CD"/>
    <w:rsid w:val="00F07AB3"/>
    <w:rsid w:val="00F171DA"/>
    <w:rsid w:val="00F262AB"/>
    <w:rsid w:val="00F635A9"/>
    <w:rsid w:val="00F81841"/>
    <w:rsid w:val="00FA00C6"/>
    <w:rsid w:val="00FC5822"/>
    <w:rsid w:val="00FE3101"/>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D1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04B52"/>
    <w:pPr>
      <w:autoSpaceDE w:val="0"/>
      <w:autoSpaceDN w:val="0"/>
    </w:pPr>
    <w:rPr>
      <w:rFonts w:ascii="Arial" w:hAnsi="Arial"/>
      <w:sz w:val="22"/>
      <w:szCs w:val="24"/>
    </w:rPr>
  </w:style>
  <w:style w:type="paragraph" w:styleId="Titolo1">
    <w:name w:val="heading 1"/>
    <w:basedOn w:val="Normale"/>
    <w:next w:val="Normale"/>
    <w:qFormat/>
    <w:pPr>
      <w:jc w:val="center"/>
      <w:outlineLvl w:val="0"/>
    </w:pPr>
    <w:rPr>
      <w:rFonts w:cs="Arial"/>
      <w:b/>
      <w:bCs/>
      <w:szCs w:val="22"/>
    </w:rPr>
  </w:style>
  <w:style w:type="paragraph" w:styleId="Titolo2">
    <w:name w:val="heading 2"/>
    <w:basedOn w:val="Normale"/>
    <w:next w:val="Normale"/>
    <w:qFormat/>
    <w:pPr>
      <w:keepNext/>
      <w:jc w:val="center"/>
      <w:outlineLvl w:val="1"/>
    </w:pPr>
    <w:rPr>
      <w:rFonts w:cs="Arial"/>
      <w:b/>
      <w:b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autoRedefine/>
    <w:pPr>
      <w:numPr>
        <w:numId w:val="1"/>
      </w:numPr>
    </w:pPr>
    <w:rPr>
      <w:rFonts w:ascii="Times" w:hAnsi="Times" w:cs="Times"/>
    </w:rPr>
  </w:style>
  <w:style w:type="paragraph" w:styleId="Puntoelenco2">
    <w:name w:val="List Bullet 2"/>
    <w:basedOn w:val="Normale"/>
    <w:autoRedefine/>
    <w:pPr>
      <w:numPr>
        <w:numId w:val="2"/>
      </w:numPr>
    </w:pPr>
    <w:rPr>
      <w:rFonts w:ascii="Times" w:hAnsi="Times" w:cs="Times"/>
    </w:rPr>
  </w:style>
  <w:style w:type="paragraph" w:styleId="Puntoelenco3">
    <w:name w:val="List Bullet 3"/>
    <w:basedOn w:val="Normale"/>
    <w:autoRedefine/>
    <w:pPr>
      <w:numPr>
        <w:numId w:val="3"/>
      </w:numPr>
    </w:pPr>
    <w:rPr>
      <w:rFonts w:ascii="Times" w:hAnsi="Times" w:cs="Times"/>
    </w:rPr>
  </w:style>
  <w:style w:type="paragraph" w:styleId="Puntoelenco4">
    <w:name w:val="List Bullet 4"/>
    <w:basedOn w:val="Normale"/>
    <w:autoRedefine/>
    <w:pPr>
      <w:numPr>
        <w:numId w:val="4"/>
      </w:numPr>
    </w:pPr>
    <w:rPr>
      <w:rFonts w:ascii="Times" w:hAnsi="Times" w:cs="Times"/>
    </w:rPr>
  </w:style>
  <w:style w:type="paragraph" w:styleId="Puntoelenco5">
    <w:name w:val="List Bullet 5"/>
    <w:basedOn w:val="Normale"/>
    <w:autoRedefine/>
    <w:pPr>
      <w:numPr>
        <w:numId w:val="5"/>
      </w:numPr>
    </w:pPr>
    <w:rPr>
      <w:rFonts w:ascii="Times" w:hAnsi="Times" w:cs="Times"/>
    </w:rPr>
  </w:style>
  <w:style w:type="paragraph" w:styleId="Numeroelenco">
    <w:name w:val="List Number"/>
    <w:basedOn w:val="Normale"/>
    <w:pPr>
      <w:numPr>
        <w:numId w:val="6"/>
      </w:numPr>
    </w:pPr>
    <w:rPr>
      <w:rFonts w:ascii="Times" w:hAnsi="Times" w:cs="Times"/>
    </w:rPr>
  </w:style>
  <w:style w:type="paragraph" w:styleId="Numeroelenco2">
    <w:name w:val="List Number 2"/>
    <w:basedOn w:val="Normale"/>
    <w:pPr>
      <w:numPr>
        <w:numId w:val="7"/>
      </w:numPr>
    </w:pPr>
    <w:rPr>
      <w:rFonts w:ascii="Times" w:hAnsi="Times" w:cs="Times"/>
    </w:rPr>
  </w:style>
  <w:style w:type="paragraph" w:styleId="Numeroelenco3">
    <w:name w:val="List Number 3"/>
    <w:basedOn w:val="Normale"/>
    <w:pPr>
      <w:numPr>
        <w:numId w:val="8"/>
      </w:numPr>
    </w:pPr>
    <w:rPr>
      <w:rFonts w:ascii="Times" w:hAnsi="Times" w:cs="Times"/>
    </w:rPr>
  </w:style>
  <w:style w:type="paragraph" w:styleId="Numeroelenco4">
    <w:name w:val="List Number 4"/>
    <w:basedOn w:val="Normale"/>
    <w:pPr>
      <w:numPr>
        <w:numId w:val="9"/>
      </w:numPr>
    </w:pPr>
    <w:rPr>
      <w:rFonts w:ascii="Times" w:hAnsi="Times" w:cs="Times"/>
    </w:rPr>
  </w:style>
  <w:style w:type="paragraph" w:styleId="Numeroelenco5">
    <w:name w:val="List Number 5"/>
    <w:basedOn w:val="Normale"/>
    <w:pPr>
      <w:numPr>
        <w:numId w:val="10"/>
      </w:numPr>
    </w:pPr>
    <w:rPr>
      <w:rFonts w:ascii="Times" w:hAnsi="Times" w:cs="Times"/>
    </w:rPr>
  </w:style>
  <w:style w:type="paragraph" w:customStyle="1" w:styleId="QuickA">
    <w:name w:val="Quick A."/>
    <w:basedOn w:val="Normale"/>
    <w:pPr>
      <w:widowControl w:val="0"/>
      <w:numPr>
        <w:numId w:val="14"/>
      </w:numPr>
      <w:tabs>
        <w:tab w:val="clear" w:pos="360"/>
      </w:tabs>
      <w:ind w:left="720" w:hanging="720"/>
    </w:pPr>
  </w:style>
  <w:style w:type="paragraph" w:customStyle="1" w:styleId="ReminderList1">
    <w:name w:val="Reminder List 1"/>
    <w:basedOn w:val="Normale"/>
    <w:pPr>
      <w:numPr>
        <w:numId w:val="12"/>
      </w:numPr>
      <w:tabs>
        <w:tab w:val="left" w:pos="360"/>
      </w:tabs>
      <w:spacing w:after="120" w:line="260" w:lineRule="atLeast"/>
      <w:ind w:left="360"/>
    </w:pPr>
    <w:rPr>
      <w:rFonts w:ascii="Helvetica" w:hAnsi="Helvetica" w:cs="Helvetica"/>
      <w:b/>
      <w:bCs/>
      <w:color w:val="000000"/>
      <w:szCs w:val="22"/>
    </w:rPr>
  </w:style>
  <w:style w:type="paragraph" w:customStyle="1" w:styleId="ReminderList2">
    <w:name w:val="Reminder List 2"/>
    <w:basedOn w:val="Normale"/>
    <w:pPr>
      <w:tabs>
        <w:tab w:val="left" w:pos="720"/>
        <w:tab w:val="num" w:pos="1800"/>
      </w:tabs>
      <w:spacing w:after="60" w:line="260" w:lineRule="atLeast"/>
      <w:ind w:left="749" w:hanging="360"/>
    </w:pPr>
    <w:rPr>
      <w:rFonts w:ascii="Helvetica" w:hAnsi="Helvetica" w:cs="Helvetica"/>
      <w:color w:val="000000"/>
      <w:szCs w:val="22"/>
    </w:rPr>
  </w:style>
  <w:style w:type="paragraph" w:customStyle="1" w:styleId="ReminderList3">
    <w:name w:val="Reminder List 3"/>
    <w:basedOn w:val="Normale"/>
    <w:pPr>
      <w:numPr>
        <w:numId w:val="13"/>
      </w:numPr>
      <w:tabs>
        <w:tab w:val="left" w:pos="1080"/>
      </w:tabs>
      <w:spacing w:after="60"/>
      <w:ind w:left="1080" w:hanging="360"/>
    </w:pPr>
    <w:rPr>
      <w:rFonts w:ascii="Helvetica" w:hAnsi="Helvetica" w:cs="Helvetica"/>
      <w:szCs w:val="22"/>
    </w:rPr>
  </w:style>
  <w:style w:type="paragraph" w:styleId="Rientrocorpodeltesto">
    <w:name w:val="Body Text Indent"/>
    <w:basedOn w:val="Normale"/>
    <w:link w:val="RientrocorpodeltestoCarattere"/>
    <w:pPr>
      <w:ind w:left="720"/>
      <w:jc w:val="both"/>
    </w:pPr>
    <w:rPr>
      <w:rFonts w:cs="Arial"/>
      <w:color w:val="FF0000"/>
      <w:sz w:val="20"/>
      <w:szCs w:val="20"/>
    </w:rPr>
  </w:style>
  <w:style w:type="character" w:customStyle="1" w:styleId="RientrocorpodeltestoCarattere">
    <w:name w:val="Rientro corpo del testo Carattere"/>
    <w:link w:val="Rientrocorpodeltesto"/>
    <w:rsid w:val="00EF4C32"/>
    <w:rPr>
      <w:rFonts w:ascii="Arial" w:hAnsi="Arial" w:cs="Arial"/>
      <w:color w:val="FF0000"/>
    </w:rPr>
  </w:style>
  <w:style w:type="paragraph" w:styleId="NormaleWeb">
    <w:name w:val="Normal (Web)"/>
    <w:basedOn w:val="Normale"/>
    <w:pPr>
      <w:autoSpaceDE/>
      <w:autoSpaceDN/>
      <w:spacing w:before="100" w:beforeAutospacing="1" w:after="100" w:afterAutospacing="1"/>
    </w:pPr>
    <w:rPr>
      <w:rFonts w:eastAsia="Arial Unicode MS"/>
    </w:rPr>
  </w:style>
  <w:style w:type="paragraph" w:styleId="Intestazione">
    <w:name w:val="header"/>
    <w:basedOn w:val="Normale"/>
    <w:pPr>
      <w:tabs>
        <w:tab w:val="center" w:pos="4320"/>
        <w:tab w:val="right" w:pos="8640"/>
      </w:tabs>
    </w:pPr>
  </w:style>
  <w:style w:type="paragraph" w:customStyle="1" w:styleId="DataField10pt">
    <w:name w:val="Data Field 10pt"/>
    <w:basedOn w:val="Normale"/>
    <w:rPr>
      <w:rFonts w:cs="Arial"/>
      <w:sz w:val="20"/>
      <w:szCs w:val="20"/>
    </w:rPr>
  </w:style>
  <w:style w:type="paragraph" w:customStyle="1" w:styleId="DataField11pt-Single">
    <w:name w:val="Data Field 11pt-Single"/>
    <w:basedOn w:val="Normale"/>
    <w:link w:val="DataField11pt-SingleChar"/>
    <w:rsid w:val="00CF68A2"/>
    <w:rPr>
      <w:rFonts w:cs="Arial"/>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styleId="Pidipagina">
    <w:name w:val="footer"/>
    <w:basedOn w:val="Normale"/>
    <w:pPr>
      <w:tabs>
        <w:tab w:val="center" w:pos="4320"/>
        <w:tab w:val="right" w:pos="8640"/>
      </w:tabs>
    </w:pPr>
  </w:style>
  <w:style w:type="character" w:styleId="Numeropagina">
    <w:name w:val="page number"/>
    <w:rPr>
      <w:rFonts w:ascii="Arial" w:hAnsi="Arial"/>
      <w:sz w:val="20"/>
      <w:u w:val="single"/>
    </w:rPr>
  </w:style>
  <w:style w:type="paragraph" w:customStyle="1" w:styleId="FormFooter">
    <w:name w:val="Form Footer"/>
    <w:basedOn w:val="Normale"/>
    <w:pPr>
      <w:tabs>
        <w:tab w:val="center" w:pos="5328"/>
        <w:tab w:val="right" w:pos="10728"/>
      </w:tabs>
      <w:ind w:left="58"/>
    </w:pPr>
    <w:rPr>
      <w:rFonts w:cs="Arial"/>
      <w:sz w:val="16"/>
      <w:szCs w:val="16"/>
    </w:rPr>
  </w:style>
  <w:style w:type="paragraph" w:customStyle="1" w:styleId="FormFooterBorder">
    <w:name w:val="FormFooter/Border"/>
    <w:basedOn w:val="Pidipagina"/>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e"/>
    <w:pPr>
      <w:spacing w:before="40" w:after="40"/>
      <w:jc w:val="center"/>
    </w:pPr>
    <w:rPr>
      <w:rFonts w:cs="Arial"/>
      <w:i/>
      <w:iCs/>
      <w:sz w:val="16"/>
      <w:szCs w:val="16"/>
    </w:rPr>
  </w:style>
  <w:style w:type="paragraph" w:customStyle="1" w:styleId="NameofApplicant">
    <w:name w:val="Name of Applicant"/>
    <w:basedOn w:val="Normale"/>
    <w:rPr>
      <w:rFonts w:cs="Arial"/>
      <w:sz w:val="16"/>
      <w:szCs w:val="15"/>
    </w:rPr>
  </w:style>
  <w:style w:type="paragraph" w:customStyle="1" w:styleId="FormFieldCaption">
    <w:name w:val="Form Field Caption"/>
    <w:basedOn w:val="Normale"/>
    <w:pPr>
      <w:tabs>
        <w:tab w:val="left" w:pos="270"/>
      </w:tabs>
    </w:pPr>
    <w:rPr>
      <w:rFonts w:cs="Arial"/>
      <w:sz w:val="16"/>
      <w:szCs w:val="16"/>
    </w:rPr>
  </w:style>
  <w:style w:type="paragraph" w:customStyle="1" w:styleId="FormFieldCaption7pt">
    <w:name w:val="Form Field Caption 7pt"/>
    <w:basedOn w:val="Normale"/>
    <w:pPr>
      <w:tabs>
        <w:tab w:val="left" w:pos="252"/>
      </w:tabs>
    </w:pPr>
    <w:rPr>
      <w:rFonts w:cs="Arial"/>
      <w:sz w:val="14"/>
      <w:szCs w:val="14"/>
    </w:rPr>
  </w:style>
  <w:style w:type="paragraph" w:customStyle="1" w:styleId="PIHeader">
    <w:name w:val="PI Header"/>
    <w:basedOn w:val="Normale"/>
    <w:pPr>
      <w:spacing w:after="40"/>
      <w:ind w:left="864"/>
    </w:pPr>
    <w:rPr>
      <w:rFonts w:cs="Arial"/>
      <w:noProof/>
      <w:sz w:val="16"/>
      <w:szCs w:val="20"/>
    </w:rPr>
  </w:style>
  <w:style w:type="paragraph" w:customStyle="1" w:styleId="HeadNoteNotItalics">
    <w:name w:val="HeadNoteNotItalics"/>
    <w:basedOn w:val="HeadingNote"/>
    <w:rPr>
      <w:i w:val="0"/>
    </w:rPr>
  </w:style>
  <w:style w:type="character" w:styleId="Collegamentoipertestuale">
    <w:name w:val="Hyperlink"/>
    <w:rsid w:val="00E67A05"/>
    <w:rPr>
      <w:color w:val="0000FF"/>
      <w:u w:val="single"/>
    </w:rPr>
  </w:style>
  <w:style w:type="paragraph" w:styleId="Sottotitolo">
    <w:name w:val="Subtitle"/>
    <w:basedOn w:val="Normale"/>
    <w:next w:val="Normale"/>
    <w:link w:val="SottotitoloCarattere"/>
    <w:qFormat/>
    <w:rsid w:val="00781234"/>
    <w:pPr>
      <w:keepNext/>
      <w:spacing w:before="360" w:after="120"/>
      <w:outlineLvl w:val="1"/>
    </w:pPr>
    <w:rPr>
      <w:b/>
    </w:rPr>
  </w:style>
  <w:style w:type="character" w:customStyle="1" w:styleId="SottotitoloCarattere">
    <w:name w:val="Sottotitolo Carattere"/>
    <w:link w:val="Sottotitolo"/>
    <w:rsid w:val="00781234"/>
    <w:rPr>
      <w:rFonts w:ascii="Arial" w:hAnsi="Arial"/>
      <w:b/>
      <w:sz w:val="22"/>
      <w:szCs w:val="24"/>
    </w:rPr>
  </w:style>
  <w:style w:type="character" w:styleId="Enfasigrassetto">
    <w:name w:val="Strong"/>
    <w:qFormat/>
    <w:rsid w:val="00E67A05"/>
    <w:rPr>
      <w:b/>
      <w:bCs/>
    </w:rPr>
  </w:style>
  <w:style w:type="character" w:styleId="Enfasicorsivo">
    <w:name w:val="Emphasis"/>
    <w:qFormat/>
    <w:rsid w:val="00EF4C32"/>
    <w:rPr>
      <w:i/>
      <w:iCs/>
    </w:rPr>
  </w:style>
  <w:style w:type="paragraph" w:customStyle="1" w:styleId="Subtitle2">
    <w:name w:val="Subtitle 2"/>
    <w:basedOn w:val="Sottotitolo"/>
    <w:rsid w:val="00781234"/>
    <w:pPr>
      <w:spacing w:before="240" w:after="0"/>
    </w:pPr>
    <w:rPr>
      <w:bCs/>
      <w:szCs w:val="20"/>
      <w:u w:val="single"/>
    </w:rPr>
  </w:style>
  <w:style w:type="paragraph" w:styleId="Nessunaspaziatura">
    <w:name w:val="No Spacing"/>
    <w:uiPriority w:val="1"/>
    <w:qFormat/>
    <w:rsid w:val="00116F7D"/>
    <w:pPr>
      <w:autoSpaceDE w:val="0"/>
      <w:autoSpaceDN w:val="0"/>
    </w:pPr>
    <w:rPr>
      <w:rFonts w:ascii="Arial" w:hAnsi="Arial"/>
      <w:sz w:val="22"/>
      <w:szCs w:val="24"/>
    </w:rPr>
  </w:style>
  <w:style w:type="paragraph" w:styleId="Testofumetto">
    <w:name w:val="Balloon Text"/>
    <w:basedOn w:val="Normale"/>
    <w:link w:val="TestofumettoCarattere"/>
    <w:rsid w:val="00341E5C"/>
    <w:rPr>
      <w:rFonts w:ascii="Tahoma" w:hAnsi="Tahoma" w:cs="Tahoma"/>
      <w:sz w:val="16"/>
      <w:szCs w:val="16"/>
    </w:rPr>
  </w:style>
  <w:style w:type="character" w:customStyle="1" w:styleId="TestofumettoCarattere">
    <w:name w:val="Testo fumetto Carattere"/>
    <w:basedOn w:val="Caratterepredefinitoparagrafo"/>
    <w:link w:val="Testofumetto"/>
    <w:rsid w:val="00341E5C"/>
    <w:rPr>
      <w:rFonts w:ascii="Tahoma" w:hAnsi="Tahoma" w:cs="Tahoma"/>
      <w:sz w:val="16"/>
      <w:szCs w:val="16"/>
    </w:rPr>
  </w:style>
  <w:style w:type="paragraph" w:customStyle="1" w:styleId="Default">
    <w:name w:val="Default"/>
    <w:rsid w:val="00470630"/>
    <w:pPr>
      <w:widowControl w:val="0"/>
      <w:autoSpaceDE w:val="0"/>
      <w:autoSpaceDN w:val="0"/>
      <w:adjustRightInd w:val="0"/>
    </w:pPr>
    <w:rPr>
      <w:rFonts w:ascii="Arial" w:hAnsi="Arial" w:cs="Arial"/>
      <w:color w:val="000000"/>
      <w:sz w:val="24"/>
      <w:szCs w:val="24"/>
    </w:rPr>
  </w:style>
  <w:style w:type="character" w:styleId="Collegamentovisitato">
    <w:name w:val="FollowedHyperlink"/>
    <w:basedOn w:val="Caratterepredefinitoparagrafo"/>
    <w:rsid w:val="00E26CF3"/>
    <w:rPr>
      <w:color w:val="800080" w:themeColor="followedHyperlink"/>
      <w:u w:val="single"/>
    </w:rPr>
  </w:style>
  <w:style w:type="paragraph" w:customStyle="1" w:styleId="EndNoteBibliography">
    <w:name w:val="EndNote Bibliography"/>
    <w:basedOn w:val="Normale"/>
    <w:rsid w:val="003D61EE"/>
    <w:pPr>
      <w:autoSpaceDE/>
      <w:autoSpaceDN/>
    </w:pPr>
    <w:rPr>
      <w:rFonts w:ascii="Cambria" w:eastAsiaTheme="minorEastAsia" w:hAnsi="Cambria" w:cstheme="minorBid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04B52"/>
    <w:pPr>
      <w:autoSpaceDE w:val="0"/>
      <w:autoSpaceDN w:val="0"/>
    </w:pPr>
    <w:rPr>
      <w:rFonts w:ascii="Arial" w:hAnsi="Arial"/>
      <w:sz w:val="22"/>
      <w:szCs w:val="24"/>
    </w:rPr>
  </w:style>
  <w:style w:type="paragraph" w:styleId="Titolo1">
    <w:name w:val="heading 1"/>
    <w:basedOn w:val="Normale"/>
    <w:next w:val="Normale"/>
    <w:qFormat/>
    <w:pPr>
      <w:jc w:val="center"/>
      <w:outlineLvl w:val="0"/>
    </w:pPr>
    <w:rPr>
      <w:rFonts w:cs="Arial"/>
      <w:b/>
      <w:bCs/>
      <w:szCs w:val="22"/>
    </w:rPr>
  </w:style>
  <w:style w:type="paragraph" w:styleId="Titolo2">
    <w:name w:val="heading 2"/>
    <w:basedOn w:val="Normale"/>
    <w:next w:val="Normale"/>
    <w:qFormat/>
    <w:pPr>
      <w:keepNext/>
      <w:jc w:val="center"/>
      <w:outlineLvl w:val="1"/>
    </w:pPr>
    <w:rPr>
      <w:rFonts w:cs="Arial"/>
      <w:b/>
      <w:b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autoRedefine/>
    <w:pPr>
      <w:numPr>
        <w:numId w:val="1"/>
      </w:numPr>
    </w:pPr>
    <w:rPr>
      <w:rFonts w:ascii="Times" w:hAnsi="Times" w:cs="Times"/>
    </w:rPr>
  </w:style>
  <w:style w:type="paragraph" w:styleId="Puntoelenco2">
    <w:name w:val="List Bullet 2"/>
    <w:basedOn w:val="Normale"/>
    <w:autoRedefine/>
    <w:pPr>
      <w:numPr>
        <w:numId w:val="2"/>
      </w:numPr>
    </w:pPr>
    <w:rPr>
      <w:rFonts w:ascii="Times" w:hAnsi="Times" w:cs="Times"/>
    </w:rPr>
  </w:style>
  <w:style w:type="paragraph" w:styleId="Puntoelenco3">
    <w:name w:val="List Bullet 3"/>
    <w:basedOn w:val="Normale"/>
    <w:autoRedefine/>
    <w:pPr>
      <w:numPr>
        <w:numId w:val="3"/>
      </w:numPr>
    </w:pPr>
    <w:rPr>
      <w:rFonts w:ascii="Times" w:hAnsi="Times" w:cs="Times"/>
    </w:rPr>
  </w:style>
  <w:style w:type="paragraph" w:styleId="Puntoelenco4">
    <w:name w:val="List Bullet 4"/>
    <w:basedOn w:val="Normale"/>
    <w:autoRedefine/>
    <w:pPr>
      <w:numPr>
        <w:numId w:val="4"/>
      </w:numPr>
    </w:pPr>
    <w:rPr>
      <w:rFonts w:ascii="Times" w:hAnsi="Times" w:cs="Times"/>
    </w:rPr>
  </w:style>
  <w:style w:type="paragraph" w:styleId="Puntoelenco5">
    <w:name w:val="List Bullet 5"/>
    <w:basedOn w:val="Normale"/>
    <w:autoRedefine/>
    <w:pPr>
      <w:numPr>
        <w:numId w:val="5"/>
      </w:numPr>
    </w:pPr>
    <w:rPr>
      <w:rFonts w:ascii="Times" w:hAnsi="Times" w:cs="Times"/>
    </w:rPr>
  </w:style>
  <w:style w:type="paragraph" w:styleId="Numeroelenco">
    <w:name w:val="List Number"/>
    <w:basedOn w:val="Normale"/>
    <w:pPr>
      <w:numPr>
        <w:numId w:val="6"/>
      </w:numPr>
    </w:pPr>
    <w:rPr>
      <w:rFonts w:ascii="Times" w:hAnsi="Times" w:cs="Times"/>
    </w:rPr>
  </w:style>
  <w:style w:type="paragraph" w:styleId="Numeroelenco2">
    <w:name w:val="List Number 2"/>
    <w:basedOn w:val="Normale"/>
    <w:pPr>
      <w:numPr>
        <w:numId w:val="7"/>
      </w:numPr>
    </w:pPr>
    <w:rPr>
      <w:rFonts w:ascii="Times" w:hAnsi="Times" w:cs="Times"/>
    </w:rPr>
  </w:style>
  <w:style w:type="paragraph" w:styleId="Numeroelenco3">
    <w:name w:val="List Number 3"/>
    <w:basedOn w:val="Normale"/>
    <w:pPr>
      <w:numPr>
        <w:numId w:val="8"/>
      </w:numPr>
    </w:pPr>
    <w:rPr>
      <w:rFonts w:ascii="Times" w:hAnsi="Times" w:cs="Times"/>
    </w:rPr>
  </w:style>
  <w:style w:type="paragraph" w:styleId="Numeroelenco4">
    <w:name w:val="List Number 4"/>
    <w:basedOn w:val="Normale"/>
    <w:pPr>
      <w:numPr>
        <w:numId w:val="9"/>
      </w:numPr>
    </w:pPr>
    <w:rPr>
      <w:rFonts w:ascii="Times" w:hAnsi="Times" w:cs="Times"/>
    </w:rPr>
  </w:style>
  <w:style w:type="paragraph" w:styleId="Numeroelenco5">
    <w:name w:val="List Number 5"/>
    <w:basedOn w:val="Normale"/>
    <w:pPr>
      <w:numPr>
        <w:numId w:val="10"/>
      </w:numPr>
    </w:pPr>
    <w:rPr>
      <w:rFonts w:ascii="Times" w:hAnsi="Times" w:cs="Times"/>
    </w:rPr>
  </w:style>
  <w:style w:type="paragraph" w:customStyle="1" w:styleId="QuickA">
    <w:name w:val="Quick A."/>
    <w:basedOn w:val="Normale"/>
    <w:pPr>
      <w:widowControl w:val="0"/>
      <w:numPr>
        <w:numId w:val="14"/>
      </w:numPr>
      <w:tabs>
        <w:tab w:val="clear" w:pos="360"/>
      </w:tabs>
      <w:ind w:left="720" w:hanging="720"/>
    </w:pPr>
  </w:style>
  <w:style w:type="paragraph" w:customStyle="1" w:styleId="ReminderList1">
    <w:name w:val="Reminder List 1"/>
    <w:basedOn w:val="Normale"/>
    <w:pPr>
      <w:numPr>
        <w:numId w:val="12"/>
      </w:numPr>
      <w:tabs>
        <w:tab w:val="left" w:pos="360"/>
      </w:tabs>
      <w:spacing w:after="120" w:line="260" w:lineRule="atLeast"/>
      <w:ind w:left="360"/>
    </w:pPr>
    <w:rPr>
      <w:rFonts w:ascii="Helvetica" w:hAnsi="Helvetica" w:cs="Helvetica"/>
      <w:b/>
      <w:bCs/>
      <w:color w:val="000000"/>
      <w:szCs w:val="22"/>
    </w:rPr>
  </w:style>
  <w:style w:type="paragraph" w:customStyle="1" w:styleId="ReminderList2">
    <w:name w:val="Reminder List 2"/>
    <w:basedOn w:val="Normale"/>
    <w:pPr>
      <w:tabs>
        <w:tab w:val="left" w:pos="720"/>
        <w:tab w:val="num" w:pos="1800"/>
      </w:tabs>
      <w:spacing w:after="60" w:line="260" w:lineRule="atLeast"/>
      <w:ind w:left="749" w:hanging="360"/>
    </w:pPr>
    <w:rPr>
      <w:rFonts w:ascii="Helvetica" w:hAnsi="Helvetica" w:cs="Helvetica"/>
      <w:color w:val="000000"/>
      <w:szCs w:val="22"/>
    </w:rPr>
  </w:style>
  <w:style w:type="paragraph" w:customStyle="1" w:styleId="ReminderList3">
    <w:name w:val="Reminder List 3"/>
    <w:basedOn w:val="Normale"/>
    <w:pPr>
      <w:numPr>
        <w:numId w:val="13"/>
      </w:numPr>
      <w:tabs>
        <w:tab w:val="left" w:pos="1080"/>
      </w:tabs>
      <w:spacing w:after="60"/>
      <w:ind w:left="1080" w:hanging="360"/>
    </w:pPr>
    <w:rPr>
      <w:rFonts w:ascii="Helvetica" w:hAnsi="Helvetica" w:cs="Helvetica"/>
      <w:szCs w:val="22"/>
    </w:rPr>
  </w:style>
  <w:style w:type="paragraph" w:styleId="Rientrocorpodeltesto">
    <w:name w:val="Body Text Indent"/>
    <w:basedOn w:val="Normale"/>
    <w:link w:val="RientrocorpodeltestoCarattere"/>
    <w:pPr>
      <w:ind w:left="720"/>
      <w:jc w:val="both"/>
    </w:pPr>
    <w:rPr>
      <w:rFonts w:cs="Arial"/>
      <w:color w:val="FF0000"/>
      <w:sz w:val="20"/>
      <w:szCs w:val="20"/>
    </w:rPr>
  </w:style>
  <w:style w:type="character" w:customStyle="1" w:styleId="RientrocorpodeltestoCarattere">
    <w:name w:val="Rientro corpo del testo Carattere"/>
    <w:link w:val="Rientrocorpodeltesto"/>
    <w:rsid w:val="00EF4C32"/>
    <w:rPr>
      <w:rFonts w:ascii="Arial" w:hAnsi="Arial" w:cs="Arial"/>
      <w:color w:val="FF0000"/>
    </w:rPr>
  </w:style>
  <w:style w:type="paragraph" w:styleId="NormaleWeb">
    <w:name w:val="Normal (Web)"/>
    <w:basedOn w:val="Normale"/>
    <w:pPr>
      <w:autoSpaceDE/>
      <w:autoSpaceDN/>
      <w:spacing w:before="100" w:beforeAutospacing="1" w:after="100" w:afterAutospacing="1"/>
    </w:pPr>
    <w:rPr>
      <w:rFonts w:eastAsia="Arial Unicode MS"/>
    </w:rPr>
  </w:style>
  <w:style w:type="paragraph" w:styleId="Intestazione">
    <w:name w:val="header"/>
    <w:basedOn w:val="Normale"/>
    <w:pPr>
      <w:tabs>
        <w:tab w:val="center" w:pos="4320"/>
        <w:tab w:val="right" w:pos="8640"/>
      </w:tabs>
    </w:pPr>
  </w:style>
  <w:style w:type="paragraph" w:customStyle="1" w:styleId="DataField10pt">
    <w:name w:val="Data Field 10pt"/>
    <w:basedOn w:val="Normale"/>
    <w:rPr>
      <w:rFonts w:cs="Arial"/>
      <w:sz w:val="20"/>
      <w:szCs w:val="20"/>
    </w:rPr>
  </w:style>
  <w:style w:type="paragraph" w:customStyle="1" w:styleId="DataField11pt-Single">
    <w:name w:val="Data Field 11pt-Single"/>
    <w:basedOn w:val="Normale"/>
    <w:link w:val="DataField11pt-SingleChar"/>
    <w:rsid w:val="00CF68A2"/>
    <w:rPr>
      <w:rFonts w:cs="Arial"/>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styleId="Pidipagina">
    <w:name w:val="footer"/>
    <w:basedOn w:val="Normale"/>
    <w:pPr>
      <w:tabs>
        <w:tab w:val="center" w:pos="4320"/>
        <w:tab w:val="right" w:pos="8640"/>
      </w:tabs>
    </w:pPr>
  </w:style>
  <w:style w:type="character" w:styleId="Numeropagina">
    <w:name w:val="page number"/>
    <w:rPr>
      <w:rFonts w:ascii="Arial" w:hAnsi="Arial"/>
      <w:sz w:val="20"/>
      <w:u w:val="single"/>
    </w:rPr>
  </w:style>
  <w:style w:type="paragraph" w:customStyle="1" w:styleId="FormFooter">
    <w:name w:val="Form Footer"/>
    <w:basedOn w:val="Normale"/>
    <w:pPr>
      <w:tabs>
        <w:tab w:val="center" w:pos="5328"/>
        <w:tab w:val="right" w:pos="10728"/>
      </w:tabs>
      <w:ind w:left="58"/>
    </w:pPr>
    <w:rPr>
      <w:rFonts w:cs="Arial"/>
      <w:sz w:val="16"/>
      <w:szCs w:val="16"/>
    </w:rPr>
  </w:style>
  <w:style w:type="paragraph" w:customStyle="1" w:styleId="FormFooterBorder">
    <w:name w:val="FormFooter/Border"/>
    <w:basedOn w:val="Pidipagina"/>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e"/>
    <w:pPr>
      <w:spacing w:before="40" w:after="40"/>
      <w:jc w:val="center"/>
    </w:pPr>
    <w:rPr>
      <w:rFonts w:cs="Arial"/>
      <w:i/>
      <w:iCs/>
      <w:sz w:val="16"/>
      <w:szCs w:val="16"/>
    </w:rPr>
  </w:style>
  <w:style w:type="paragraph" w:customStyle="1" w:styleId="NameofApplicant">
    <w:name w:val="Name of Applicant"/>
    <w:basedOn w:val="Normale"/>
    <w:rPr>
      <w:rFonts w:cs="Arial"/>
      <w:sz w:val="16"/>
      <w:szCs w:val="15"/>
    </w:rPr>
  </w:style>
  <w:style w:type="paragraph" w:customStyle="1" w:styleId="FormFieldCaption">
    <w:name w:val="Form Field Caption"/>
    <w:basedOn w:val="Normale"/>
    <w:pPr>
      <w:tabs>
        <w:tab w:val="left" w:pos="270"/>
      </w:tabs>
    </w:pPr>
    <w:rPr>
      <w:rFonts w:cs="Arial"/>
      <w:sz w:val="16"/>
      <w:szCs w:val="16"/>
    </w:rPr>
  </w:style>
  <w:style w:type="paragraph" w:customStyle="1" w:styleId="FormFieldCaption7pt">
    <w:name w:val="Form Field Caption 7pt"/>
    <w:basedOn w:val="Normale"/>
    <w:pPr>
      <w:tabs>
        <w:tab w:val="left" w:pos="252"/>
      </w:tabs>
    </w:pPr>
    <w:rPr>
      <w:rFonts w:cs="Arial"/>
      <w:sz w:val="14"/>
      <w:szCs w:val="14"/>
    </w:rPr>
  </w:style>
  <w:style w:type="paragraph" w:customStyle="1" w:styleId="PIHeader">
    <w:name w:val="PI Header"/>
    <w:basedOn w:val="Normale"/>
    <w:pPr>
      <w:spacing w:after="40"/>
      <w:ind w:left="864"/>
    </w:pPr>
    <w:rPr>
      <w:rFonts w:cs="Arial"/>
      <w:noProof/>
      <w:sz w:val="16"/>
      <w:szCs w:val="20"/>
    </w:rPr>
  </w:style>
  <w:style w:type="paragraph" w:customStyle="1" w:styleId="HeadNoteNotItalics">
    <w:name w:val="HeadNoteNotItalics"/>
    <w:basedOn w:val="HeadingNote"/>
    <w:rPr>
      <w:i w:val="0"/>
    </w:rPr>
  </w:style>
  <w:style w:type="character" w:styleId="Collegamentoipertestuale">
    <w:name w:val="Hyperlink"/>
    <w:rsid w:val="00E67A05"/>
    <w:rPr>
      <w:color w:val="0000FF"/>
      <w:u w:val="single"/>
    </w:rPr>
  </w:style>
  <w:style w:type="paragraph" w:styleId="Sottotitolo">
    <w:name w:val="Subtitle"/>
    <w:basedOn w:val="Normale"/>
    <w:next w:val="Normale"/>
    <w:link w:val="SottotitoloCarattere"/>
    <w:qFormat/>
    <w:rsid w:val="00781234"/>
    <w:pPr>
      <w:keepNext/>
      <w:spacing w:before="360" w:after="120"/>
      <w:outlineLvl w:val="1"/>
    </w:pPr>
    <w:rPr>
      <w:b/>
    </w:rPr>
  </w:style>
  <w:style w:type="character" w:customStyle="1" w:styleId="SottotitoloCarattere">
    <w:name w:val="Sottotitolo Carattere"/>
    <w:link w:val="Sottotitolo"/>
    <w:rsid w:val="00781234"/>
    <w:rPr>
      <w:rFonts w:ascii="Arial" w:hAnsi="Arial"/>
      <w:b/>
      <w:sz w:val="22"/>
      <w:szCs w:val="24"/>
    </w:rPr>
  </w:style>
  <w:style w:type="character" w:styleId="Enfasigrassetto">
    <w:name w:val="Strong"/>
    <w:qFormat/>
    <w:rsid w:val="00E67A05"/>
    <w:rPr>
      <w:b/>
      <w:bCs/>
    </w:rPr>
  </w:style>
  <w:style w:type="character" w:styleId="Enfasicorsivo">
    <w:name w:val="Emphasis"/>
    <w:qFormat/>
    <w:rsid w:val="00EF4C32"/>
    <w:rPr>
      <w:i/>
      <w:iCs/>
    </w:rPr>
  </w:style>
  <w:style w:type="paragraph" w:customStyle="1" w:styleId="Subtitle2">
    <w:name w:val="Subtitle 2"/>
    <w:basedOn w:val="Sottotitolo"/>
    <w:rsid w:val="00781234"/>
    <w:pPr>
      <w:spacing w:before="240" w:after="0"/>
    </w:pPr>
    <w:rPr>
      <w:bCs/>
      <w:szCs w:val="20"/>
      <w:u w:val="single"/>
    </w:rPr>
  </w:style>
  <w:style w:type="paragraph" w:styleId="Nessunaspaziatura">
    <w:name w:val="No Spacing"/>
    <w:uiPriority w:val="1"/>
    <w:qFormat/>
    <w:rsid w:val="00116F7D"/>
    <w:pPr>
      <w:autoSpaceDE w:val="0"/>
      <w:autoSpaceDN w:val="0"/>
    </w:pPr>
    <w:rPr>
      <w:rFonts w:ascii="Arial" w:hAnsi="Arial"/>
      <w:sz w:val="22"/>
      <w:szCs w:val="24"/>
    </w:rPr>
  </w:style>
  <w:style w:type="paragraph" w:styleId="Testofumetto">
    <w:name w:val="Balloon Text"/>
    <w:basedOn w:val="Normale"/>
    <w:link w:val="TestofumettoCarattere"/>
    <w:rsid w:val="00341E5C"/>
    <w:rPr>
      <w:rFonts w:ascii="Tahoma" w:hAnsi="Tahoma" w:cs="Tahoma"/>
      <w:sz w:val="16"/>
      <w:szCs w:val="16"/>
    </w:rPr>
  </w:style>
  <w:style w:type="character" w:customStyle="1" w:styleId="TestofumettoCarattere">
    <w:name w:val="Testo fumetto Carattere"/>
    <w:basedOn w:val="Caratterepredefinitoparagrafo"/>
    <w:link w:val="Testofumetto"/>
    <w:rsid w:val="00341E5C"/>
    <w:rPr>
      <w:rFonts w:ascii="Tahoma" w:hAnsi="Tahoma" w:cs="Tahoma"/>
      <w:sz w:val="16"/>
      <w:szCs w:val="16"/>
    </w:rPr>
  </w:style>
  <w:style w:type="paragraph" w:customStyle="1" w:styleId="Default">
    <w:name w:val="Default"/>
    <w:rsid w:val="00470630"/>
    <w:pPr>
      <w:widowControl w:val="0"/>
      <w:autoSpaceDE w:val="0"/>
      <w:autoSpaceDN w:val="0"/>
      <w:adjustRightInd w:val="0"/>
    </w:pPr>
    <w:rPr>
      <w:rFonts w:ascii="Arial" w:hAnsi="Arial" w:cs="Arial"/>
      <w:color w:val="000000"/>
      <w:sz w:val="24"/>
      <w:szCs w:val="24"/>
    </w:rPr>
  </w:style>
  <w:style w:type="character" w:styleId="Collegamentovisitato">
    <w:name w:val="FollowedHyperlink"/>
    <w:basedOn w:val="Caratterepredefinitoparagrafo"/>
    <w:rsid w:val="00E26CF3"/>
    <w:rPr>
      <w:color w:val="800080" w:themeColor="followedHyperlink"/>
      <w:u w:val="single"/>
    </w:rPr>
  </w:style>
  <w:style w:type="paragraph" w:customStyle="1" w:styleId="EndNoteBibliography">
    <w:name w:val="EndNote Bibliography"/>
    <w:basedOn w:val="Normale"/>
    <w:rsid w:val="003D61EE"/>
    <w:pPr>
      <w:autoSpaceDE/>
      <w:autoSpaceDN/>
    </w:pPr>
    <w:rPr>
      <w:rFonts w:ascii="Cambria" w:eastAsiaTheme="minorEastAsia" w:hAnsi="Cambria"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www.hugef-torino.org" TargetMode="External"/><Relationship Id="rId14" Type="http://schemas.openxmlformats.org/officeDocument/2006/relationships/hyperlink" Target="https://www.ncbi.nlm.nih.gov/myncbi/collections/bibliography/48168277/?reload=addfrompubmed&amp;sortby=date&amp;groupby=citation_type" TargetMode="Externa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7350-9CAD-864C-8DCA-34FA3277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2567</Words>
  <Characters>14634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PHS 398/2590 (Rev. 06/09), Biographical Sketch Format Page</vt:lpstr>
    </vt:vector>
  </TitlesOfParts>
  <Company>DHHS/PHS/NIH</Company>
  <LinksUpToDate>false</LinksUpToDate>
  <CharactersWithSpaces>17167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(Rev. 06/09), Biographical Sketch Format Page</dc:title>
  <dc:subject>DHHS, Public Health Service Grant Application</dc:subject>
  <dc:creator>Office of Extramural Programs</dc:creator>
  <cp:keywords>PHS Grant Application, PHS 398/2590 (Rev. 06/09), Biographical Sketch Format Page</cp:keywords>
  <dc:description/>
  <cp:lastModifiedBy>Silvia Deaglio</cp:lastModifiedBy>
  <cp:revision>4</cp:revision>
  <cp:lastPrinted>2016-03-29T15:26:00Z</cp:lastPrinted>
  <dcterms:created xsi:type="dcterms:W3CDTF">2016-09-02T04:21:00Z</dcterms:created>
  <dcterms:modified xsi:type="dcterms:W3CDTF">2016-09-27T10:02:00Z</dcterms:modified>
</cp:coreProperties>
</file>