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C8F62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b/>
          <w:i/>
          <w:sz w:val="22"/>
          <w:szCs w:val="22"/>
          <w:lang w:eastAsia="it-IT"/>
        </w:rPr>
        <w:t>Monografie e rapporti di scavo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:</w:t>
      </w:r>
    </w:p>
    <w:p w14:paraId="0ED5920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 2020, </w:t>
      </w: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L’area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archeologica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T</w:t>
      </w:r>
      <w:r w:rsidRPr="00FE4853">
        <w:rPr>
          <w:rFonts w:ascii="Calibri" w:hAnsi="Calibri" w:cs="Calibri"/>
          <w:i/>
          <w:sz w:val="22"/>
          <w:szCs w:val="22"/>
          <w:lang w:val="fr-FR" w:eastAsia="it-IT"/>
        </w:rPr>
        <w:t>ū</w:t>
      </w: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l</w:t>
      </w:r>
      <w:r w:rsidRPr="00FE4853">
        <w:rPr>
          <w:rFonts w:ascii="Calibri" w:hAnsi="Calibri" w:cs="Calibri"/>
          <w:i/>
          <w:sz w:val="22"/>
          <w:szCs w:val="22"/>
          <w:lang w:val="fr-FR" w:eastAsia="it-IT"/>
        </w:rPr>
        <w:t>ū</w:t>
      </w: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al-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Baqarat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Gli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scavi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della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missione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italiana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Interim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report (2013-2019)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Attività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Ricerca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1, 2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voll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., Firenze.</w:t>
      </w:r>
    </w:p>
    <w:p w14:paraId="324FA77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</w:p>
    <w:p w14:paraId="34D8CF1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Invernizzi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A.,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Lippolis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 2008,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Partica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Ricerche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nel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complesso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monumentale arsacide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Mesopotamia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IX, Firenze.</w:t>
      </w:r>
    </w:p>
    <w:p w14:paraId="7C8E2C33" w14:textId="77777777" w:rsidR="00FE4853" w:rsidRPr="00FE4853" w:rsidRDefault="00FE4853" w:rsidP="00FE4853">
      <w:pPr>
        <w:jc w:val="both"/>
        <w:rPr>
          <w:rFonts w:ascii="Adobe Gurmukhi" w:hAnsi="Adobe Gurmukhi" w:cs="Adobe Hebrew"/>
          <w:b/>
          <w:i/>
          <w:sz w:val="22"/>
          <w:szCs w:val="22"/>
          <w:lang w:val="fr-FR" w:eastAsia="it-IT"/>
        </w:rPr>
      </w:pPr>
    </w:p>
    <w:p w14:paraId="7542A838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val="fr-FR" w:eastAsia="it-IT"/>
        </w:rPr>
      </w:pPr>
      <w:proofErr w:type="spellStart"/>
      <w:proofErr w:type="gramStart"/>
      <w:r w:rsidRPr="00FE4853">
        <w:rPr>
          <w:rFonts w:ascii="Adobe Gurmukhi" w:hAnsi="Adobe Gurmukhi" w:cs="Adobe Hebrew"/>
          <w:b/>
          <w:i/>
          <w:sz w:val="22"/>
          <w:szCs w:val="22"/>
          <w:lang w:val="fr-FR" w:eastAsia="it-IT"/>
        </w:rPr>
        <w:t>Curatele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:</w:t>
      </w:r>
      <w:proofErr w:type="gramEnd"/>
    </w:p>
    <w:p w14:paraId="193C6AC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C., de Martino S.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Parapetti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R., Capri G.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.), </w:t>
      </w: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L’Iraq Museum di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Baghdad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Gli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interventi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italiani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per la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riqualificazione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di un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patrimonio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dell’umanità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, Firenze.</w:t>
      </w:r>
    </w:p>
    <w:p w14:paraId="3DD80BB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</w:p>
    <w:p w14:paraId="2446154B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 (ed.) 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2011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The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Sennacherib Wall Reliefs at Nineveh,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di Mesopotamia XV, Firenze.</w:t>
      </w:r>
    </w:p>
    <w:p w14:paraId="2FAB9F5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660D605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C., de Martino S.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.) 2011,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Un impaziente desiderio di scorrere il mondo. Studi in onore di A. Invernizzi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Monografie di Mesopotamia XIV, Firenze.</w:t>
      </w:r>
    </w:p>
    <w:p w14:paraId="2A35D43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6E1BA11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(ed) 2007,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Ninive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. Il Palazzo senza eguali di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Sennacherib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fotografica di Torino (maggio-settembre 2007), Milano.</w:t>
      </w:r>
    </w:p>
    <w:p w14:paraId="3500D2E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BA74A5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b/>
          <w:i/>
          <w:sz w:val="22"/>
          <w:szCs w:val="22"/>
          <w:lang w:eastAsia="it-IT"/>
        </w:rPr>
        <w:t>Pubblicazioni scientifiche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:</w:t>
      </w:r>
    </w:p>
    <w:p w14:paraId="5BDB0F4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Devecchi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E., Lippolis C. 2020, “Dalla Mesopotamia a Parigi, passando per Susa. Il bottino mesopotamico del re elamita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Šutruk-Na</w:t>
      </w:r>
      <w:r w:rsidRPr="00FE4853">
        <w:rPr>
          <w:rFonts w:ascii="Calibri" w:hAnsi="Calibri" w:cs="Calibri"/>
          <w:sz w:val="22"/>
          <w:szCs w:val="22"/>
          <w:lang w:eastAsia="it-IT"/>
        </w:rPr>
        <w:t>ḫḫ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unte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in E.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Culasso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(ed.)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La seconda vita delle iscrizioni. E molte altre ancora,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Alessandria, 161-172.</w:t>
      </w:r>
    </w:p>
    <w:p w14:paraId="7DE6927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118E312F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Menegazzi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R. 2020, “Archaeology for the Public through Asia”, in M.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Cammarosano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E.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Devecchi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M.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Viano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(eds.)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talugaeš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witteš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. Ancient Near Eastern Studies Presented to Stefano de Martino on the Occasion of his 65th Birthday,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Münster, 275-285.</w:t>
      </w:r>
    </w:p>
    <w:p w14:paraId="17018A0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3119F47B" w14:textId="77777777" w:rsidR="00FE4853" w:rsidRPr="00FE4853" w:rsidRDefault="00FE4853" w:rsidP="00FE4853">
      <w:pPr>
        <w:rPr>
          <w:rFonts w:ascii="Adobe Gurmukhi" w:hAnsi="Adobe Gurmukhi" w:cs="Adobe Hebrew"/>
          <w:bCs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2020, “Nisa Partica, splendore degli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Arsacidi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. La missione archeologica italiana Unito-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Crast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in Turkmenistan” in D. Elia (a cura di),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Chiedi alla Terra. Esplorazioni e ricerche archeologiche del Dipartimento di Studi Storici dell'Università di Torino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(“</w:t>
      </w:r>
      <w:r w:rsidRPr="00FE4853">
        <w:rPr>
          <w:rFonts w:ascii="Adobe Gurmukhi" w:hAnsi="Adobe Gurmukhi" w:cs="Adobe Hebrew"/>
          <w:bCs/>
          <w:sz w:val="22"/>
          <w:szCs w:val="22"/>
          <w:lang w:eastAsia="it-IT"/>
        </w:rPr>
        <w:t>Prospettive storiche, Studi e Ricerche del Dipartimento di Studi Storici dell’Università di Torino”), Torino, 34-49.</w:t>
      </w:r>
    </w:p>
    <w:p w14:paraId="4BC4F1C4" w14:textId="77777777" w:rsidR="00FE4853" w:rsidRPr="00FE4853" w:rsidRDefault="00FE4853" w:rsidP="00FE4853">
      <w:pPr>
        <w:rPr>
          <w:rFonts w:ascii="Adobe Gurmukhi" w:hAnsi="Adobe Gurmukhi" w:cs="Adobe Hebrew"/>
          <w:bCs/>
          <w:sz w:val="22"/>
          <w:szCs w:val="22"/>
          <w:lang w:eastAsia="it-IT"/>
        </w:rPr>
      </w:pPr>
    </w:p>
    <w:p w14:paraId="5D7BD94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2020, “Archeologia e tutela di un patrimonio da salvare. La missione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archeological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italiana Unito-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Crast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in Iraq”, in D. Elia (a cura di),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Chiedi alla Terra. Esplorazioni e ricerche archeologiche del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lastRenderedPageBreak/>
        <w:t>Dipartimento di Studi Storici dell'Università di Torino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(“</w:t>
      </w:r>
      <w:r w:rsidRPr="00FE4853">
        <w:rPr>
          <w:rFonts w:ascii="Adobe Gurmukhi" w:hAnsi="Adobe Gurmukhi" w:cs="Adobe Hebrew"/>
          <w:bCs/>
          <w:sz w:val="22"/>
          <w:szCs w:val="22"/>
          <w:lang w:eastAsia="it-IT"/>
        </w:rPr>
        <w:t>Prospettive storiche, Studi e Ricerche del Dipartimento di Studi Storici dell’Università di Torino”), Torino, 50-65.</w:t>
      </w:r>
    </w:p>
    <w:p w14:paraId="734C246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4B1E786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6AFE361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2019, “Le acque di Nisa 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Mitridatocerta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(Turkmenistan)”,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Parthica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21, 89-113.</w:t>
      </w:r>
    </w:p>
    <w:p w14:paraId="356D604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4012601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C., Quirico E., Bruno J., Ragazzon G., Mohammed H. A.,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Kazai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A.S.,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Shetod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S.K.,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Taha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H.,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Kamil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A. 2019,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T</w:t>
      </w:r>
      <w:r w:rsidRPr="00FE4853">
        <w:rPr>
          <w:rFonts w:ascii="Calibri" w:hAnsi="Calibri" w:cs="Calibri"/>
          <w:sz w:val="22"/>
          <w:szCs w:val="22"/>
          <w:lang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</w:t>
      </w:r>
      <w:r w:rsidRPr="00FE4853">
        <w:rPr>
          <w:rFonts w:ascii="Calibri" w:hAnsi="Calibri" w:cs="Calibri"/>
          <w:sz w:val="22"/>
          <w:szCs w:val="22"/>
          <w:lang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al-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Baqarat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Mound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7 (TB7).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Preliminary report (season 2015-2018)”,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Sumer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LXV, 133-163.</w:t>
      </w:r>
    </w:p>
    <w:p w14:paraId="1BFC972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443FED1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Bruno J.,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Patrucco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G. 2019, “Preliminary note on the 2019 archaeological campaign of the Italian-Turkmen archaeological expedition to Old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(Turkmenistan)”,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Parthica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21, 115-126.</w:t>
      </w:r>
    </w:p>
    <w:p w14:paraId="6376719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51F1054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Davit P., Turco</w:t>
      </w:r>
      <w:r w:rsidRPr="00FE4853">
        <w:rPr>
          <w:rFonts w:ascii="Adobe Gurmukhi" w:hAnsi="Adobe Gurmukhi" w:cs="Adobe Hebrew"/>
          <w:bCs/>
          <w:sz w:val="22"/>
          <w:szCs w:val="22"/>
          <w:lang w:val="en-US" w:eastAsia="it-IT"/>
        </w:rPr>
        <w:t xml:space="preserve"> F. 2019, “Stucco and clay in the decoration of the monumental buildings of old </w:t>
      </w:r>
      <w:proofErr w:type="spellStart"/>
      <w:r w:rsidRPr="00FE4853">
        <w:rPr>
          <w:rFonts w:ascii="Adobe Gurmukhi" w:hAnsi="Adobe Gurmukhi" w:cs="Adobe Hebrew"/>
          <w:bCs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bCs/>
          <w:sz w:val="22"/>
          <w:szCs w:val="22"/>
          <w:lang w:val="en-US" w:eastAsia="it-IT"/>
        </w:rPr>
        <w:t xml:space="preserve">”, </w:t>
      </w:r>
      <w:r w:rsidRPr="00FE4853">
        <w:rPr>
          <w:rFonts w:ascii="Adobe Gurmukhi" w:hAnsi="Adobe Gurmukhi" w:cs="Adobe Hebrew"/>
          <w:i/>
          <w:iCs/>
          <w:sz w:val="22"/>
          <w:szCs w:val="22"/>
          <w:lang w:val="en-US" w:eastAsia="it-IT"/>
        </w:rPr>
        <w:t>Syria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i/>
          <w:iCs/>
          <w:sz w:val="22"/>
          <w:szCs w:val="22"/>
          <w:lang w:val="en-US" w:eastAsia="it-IT"/>
        </w:rPr>
        <w:t>Supplément</w:t>
      </w:r>
      <w:proofErr w:type="spellEnd"/>
      <w:r w:rsidRPr="00FE4853">
        <w:rPr>
          <w:rFonts w:ascii="Adobe Gurmukhi" w:hAnsi="Adobe Gurmukhi" w:cs="Adobe Hebrew"/>
          <w:i/>
          <w:iCs/>
          <w:sz w:val="22"/>
          <w:szCs w:val="22"/>
          <w:lang w:val="en-US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V (2019), 311- 322.</w:t>
      </w:r>
    </w:p>
    <w:p w14:paraId="2664309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6CA8C26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r w:rsidRPr="00FE4853">
        <w:rPr>
          <w:rFonts w:ascii="Adobe Gurmukhi" w:hAnsi="Adobe Gurmukhi" w:cs="Adobe Hebrew"/>
          <w:bCs/>
          <w:sz w:val="22"/>
          <w:szCs w:val="22"/>
          <w:lang w:val="en-US" w:eastAsia="it-IT"/>
        </w:rPr>
        <w:t xml:space="preserve">C. 2019, “Parthian </w:t>
      </w:r>
      <w:proofErr w:type="spellStart"/>
      <w:r w:rsidRPr="00FE4853">
        <w:rPr>
          <w:rFonts w:ascii="Adobe Gurmukhi" w:hAnsi="Adobe Gurmukhi" w:cs="Adobe Hebrew"/>
          <w:bCs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bCs/>
          <w:sz w:val="22"/>
          <w:szCs w:val="22"/>
          <w:lang w:val="en-US" w:eastAsia="it-IT"/>
        </w:rPr>
        <w:t xml:space="preserve">.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Landscape, topography and settlement planning”, in Christoph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Baumer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and Mirko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Novák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(eds.),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Urban Cultures of Central Asia from the Bronze Age to the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Karakhanids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Wiesbaden, 73-84.</w:t>
      </w:r>
    </w:p>
    <w:p w14:paraId="213605E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308DB37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2019, “Identità e propaganda nel Medio Oriente: la lettura del passato tra celebrazione e negazione” in M.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Nucciotti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C.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Bonacchi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C.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Molducci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.)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Archeologia Pubblica in Italia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(Strumenti per la didattica e la ricerca, 211), Firenze, 59-68.</w:t>
      </w:r>
    </w:p>
    <w:p w14:paraId="472A53F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3DE4EB8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 2018, “Patterns of Destruction: the Looting of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T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al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Baqarat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in the last 20 years”, </w:t>
      </w:r>
      <w:proofErr w:type="gramStart"/>
      <w:r w:rsidRPr="00FE4853">
        <w:rPr>
          <w:rFonts w:ascii="Adobe Gurmukhi" w:hAnsi="Adobe Gurmukhi" w:cs="Adobe Hebrew"/>
          <w:i/>
          <w:iCs/>
          <w:sz w:val="22"/>
          <w:szCs w:val="22"/>
          <w:lang w:val="en-US" w:eastAsia="it-IT"/>
        </w:rPr>
        <w:t>Sumer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 LXIV</w:t>
      </w:r>
      <w:proofErr w:type="gram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49-64.</w:t>
      </w:r>
    </w:p>
    <w:p w14:paraId="122B582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23E0C088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2018, “La scoperta di Nisa Partica e la Casa Quadrata di Nisa Vecchia”, in N.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Manassero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A banchetto con gli eroi. La mobilia in avorio dalla Casa Quadrata a Nisa Partica,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Alessandria,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1-15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.</w:t>
      </w:r>
    </w:p>
    <w:p w14:paraId="0046F36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3CF39F2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2018, "Lo spettacolo della distruzione e la negatività del passato: il caso dell'Iraq",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Memoria e Ricerca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3/2018, 539-549.</w:t>
      </w:r>
    </w:p>
    <w:p w14:paraId="692CE5D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A7984E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Chiabrando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F., Lippolis C., Messina V., Sciacca S. </w:t>
      </w:r>
      <w:proofErr w:type="gramStart"/>
      <w:r w:rsidRPr="00FE4853">
        <w:rPr>
          <w:rFonts w:ascii="Adobe Gurmukhi" w:hAnsi="Adobe Gurmukhi" w:cs="Adobe Hebrew"/>
          <w:sz w:val="22"/>
          <w:szCs w:val="22"/>
          <w:lang w:eastAsia="it-IT"/>
        </w:rPr>
        <w:t>2017,  “</w:t>
      </w:r>
      <w:proofErr w:type="spellStart"/>
      <w:proofErr w:type="gramEnd"/>
      <w:r w:rsidRPr="00FE4853">
        <w:rPr>
          <w:rFonts w:ascii="Adobe Gurmukhi" w:hAnsi="Adobe Gurmukhi" w:cs="Adobe Hebrew"/>
          <w:sz w:val="22"/>
          <w:szCs w:val="22"/>
          <w:lang w:eastAsia="it-IT"/>
        </w:rPr>
        <w:t>Topography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and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settlement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of al-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Mada'in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Mesopotamia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LII, 151-171.</w:t>
      </w:r>
    </w:p>
    <w:p w14:paraId="22ED578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0644CC5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lastRenderedPageBreak/>
        <w:t xml:space="preserve">- Lippolis C. 2017, The Iraq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Museum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in Baghdad, in L.P. Petit, D. Morandi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Bonacossi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.)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Nineveh, the Great City. Symbol of Beauty and Power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Leiden, 321-323.</w:t>
      </w:r>
    </w:p>
    <w:p w14:paraId="185ED7D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098BA84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 2017, Sennacherib, in L.P. Petit, D.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Morandi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Bonacossi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(eds.)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Nineveh, the Great City. Symbol of Beauty and Power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Leiden, 179-183.</w:t>
      </w:r>
    </w:p>
    <w:p w14:paraId="4DC37CB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5F9458E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Turco F., Davit P.,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Borghi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A.</w:t>
      </w:r>
      <w:proofErr w:type="gram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 Bruno</w:t>
      </w:r>
      <w:proofErr w:type="gram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J.,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Operti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L. 2016, "Multi-technique characterization of various artefacts and raw materials from Old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(Turkmenistan), A preliminary study",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Journal of Archaeological Sciences: Reports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5, 374-382.</w:t>
      </w:r>
    </w:p>
    <w:p w14:paraId="5923DA1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4F721FA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 2016, "Preliminary Report of the Italian Archaeological Expedition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MAITaB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) at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T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al-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Baqarat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Wasit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Province)",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Mesopotamia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LI, 67-99.</w:t>
      </w:r>
    </w:p>
    <w:p w14:paraId="6834790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40148A1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Viano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M. 2016, “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It is indeed a city, it is indeed a city! Who knows its interior?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The Historical and Geographical Setting of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T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al-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Baqarat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. Some Preliminary Remarks”,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Mesopotamia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LI, 143-146.</w:t>
      </w:r>
    </w:p>
    <w:p w14:paraId="6F0362A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6FEDBFD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Di Michele A.,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Quirico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E. 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2016 - “Preliminary Report of the Italian Expedition at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T</w:t>
      </w:r>
      <w:r w:rsidRPr="00FE4853">
        <w:rPr>
          <w:rFonts w:ascii="Calibri" w:hAnsi="Calibri" w:cs="Calibri"/>
          <w:sz w:val="22"/>
          <w:szCs w:val="22"/>
          <w:lang w:val="en-GB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</w:t>
      </w:r>
      <w:r w:rsidRPr="00FE4853">
        <w:rPr>
          <w:rFonts w:ascii="Calibri" w:hAnsi="Calibri" w:cs="Calibri"/>
          <w:sz w:val="22"/>
          <w:szCs w:val="22"/>
          <w:lang w:val="en-GB" w:eastAsia="it-IT"/>
        </w:rPr>
        <w:t>ū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al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Baqarat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(1st Season 2013)”,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Sumer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LXII, 37-47.</w:t>
      </w:r>
    </w:p>
    <w:p w14:paraId="0EE5AD7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1C3B982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Messina V. 2015, "From Parthian to Islamic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", in R.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Rante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(ed.)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Greater Khorasan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Berlin/Munich/Boston, 39-50.</w:t>
      </w:r>
    </w:p>
    <w:p w14:paraId="3548CA5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4486371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Menegazzi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R. 2015, "Children and Magic. A glimpse of some terracotta figurines from Seleucia on the Tigris",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PIFK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1 (47), 73-80.</w:t>
      </w:r>
    </w:p>
    <w:p w14:paraId="6BFCCAB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5BF8D7D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Bonfanti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Chiabrando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F.,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Messina V. 2015, Mega-Sites' Impact on Central Mesopotamia. Archaeological and Multi-Temporal Cartographic Study of the Al-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Mada'in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Area, </w:t>
      </w:r>
      <w:proofErr w:type="gram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Proceedings</w:t>
      </w:r>
      <w:proofErr w:type="gram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 9th ICAANE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Basel, 805-817.</w:t>
      </w:r>
    </w:p>
    <w:p w14:paraId="747E4B5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2C1C634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Manassero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N. 2015, "Storehouses and storage practices in Old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",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Electrum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proofErr w:type="gram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22,  115</w:t>
      </w:r>
      <w:proofErr w:type="gram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-142.</w:t>
      </w:r>
    </w:p>
    <w:p w14:paraId="581A6AF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0887934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C., Baggio P.,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Monopoli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B. 2014, “Past and Present of Ancient Babylon seen from Above”, in B. André-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Salvini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(ed)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La Tour de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Babylone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Documenta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Asiana, X), Roma, 147-163.</w:t>
      </w:r>
    </w:p>
    <w:p w14:paraId="542AC29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07772D7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 2014, “Parthian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. Art and Architecture in the Homeland of the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Arsacids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”, in P.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Leriche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lastRenderedPageBreak/>
        <w:t xml:space="preserve">(ed),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Art e Civilisation de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l’Orient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Hellénisé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.</w:t>
      </w:r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 xml:space="preserve"> Rencontres et </w:t>
      </w:r>
      <w:proofErr w:type="spellStart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>échanges</w:t>
      </w:r>
      <w:proofErr w:type="spellEnd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>culturels</w:t>
      </w:r>
      <w:proofErr w:type="spellEnd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>d'Alexandre</w:t>
      </w:r>
      <w:proofErr w:type="spellEnd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 xml:space="preserve"> aux </w:t>
      </w:r>
      <w:proofErr w:type="spellStart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>Sassanides</w:t>
      </w:r>
      <w:proofErr w:type="spellEnd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>Hommage</w:t>
      </w:r>
      <w:proofErr w:type="spellEnd"/>
      <w:r w:rsidRPr="00FE4853">
        <w:rPr>
          <w:rFonts w:ascii="Adobe Gurmukhi" w:hAnsi="Adobe Gurmukhi" w:cs="Adobe Hebrew"/>
          <w:bCs/>
          <w:i/>
          <w:sz w:val="22"/>
          <w:szCs w:val="22"/>
          <w:lang w:val="en-US" w:eastAsia="it-IT"/>
        </w:rPr>
        <w:t xml:space="preserve"> à Daniel Schlumberger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, Paris, 223-230.</w:t>
      </w:r>
    </w:p>
    <w:p w14:paraId="0217DA3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681B3B5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 2014, “Da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Babilonia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a Hollywood.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Falsi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e propaganda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nell'Iraq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di Saddam”, in C.C.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Lamberg-Karlovsky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, B. Genito, B.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Cerasetti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(eds.), "My Life is like the Summer Rose".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Maurizio Tosi e l'Archeologia come modo di vivere.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Papers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honour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of Maurizio Tosi for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his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70th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birthday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, Oxford, 437-441.</w:t>
      </w:r>
    </w:p>
    <w:p w14:paraId="77C107E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4359CED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C. 2013, “The Dark Age of Old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: late Parthian Levels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Mihrdatkirt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?”, in P.B.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Lurje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A.I.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Torgoev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(eds.)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Sogdians, Their Precursors,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Contemporaires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 and Heirs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(Transactions of the State Hermitage Museum LXII), St.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Petersburg, 60-70.</w:t>
      </w:r>
    </w:p>
    <w:p w14:paraId="6761BDF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2BC08F3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- Lippolis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C., Benetti M. 2013, “Una coppia di tori androcefali alati da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Nimrud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in A. Invernizzi (ed.)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Mnemeìon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Scritti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 in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memoria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 di Paolo Fiorina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9-29.</w:t>
      </w:r>
    </w:p>
    <w:p w14:paraId="1543AB9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601B966D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C., 2013 (2014), “Old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Excavations in the South-Western Area. Second Preliminary Report (2008-2012)”,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Parthica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15, 89-115.</w:t>
      </w:r>
    </w:p>
    <w:p w14:paraId="1D66BF1F" w14:textId="77777777" w:rsidR="00FE4853" w:rsidRPr="00FE4853" w:rsidRDefault="00FE4853" w:rsidP="00FE4853">
      <w:pPr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</w:pPr>
    </w:p>
    <w:p w14:paraId="09BED4D8" w14:textId="77777777" w:rsidR="00FE4853" w:rsidRPr="00FE4853" w:rsidRDefault="00FE4853" w:rsidP="00FE4853">
      <w:pPr>
        <w:rPr>
          <w:rFonts w:ascii="Adobe Gurmukhi" w:hAnsi="Adobe Gurmukhi" w:cs="Adobe Hebrew"/>
          <w:iCs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iCs/>
          <w:sz w:val="22"/>
          <w:szCs w:val="22"/>
          <w:lang w:eastAsia="it-IT" w:bidi="it-IT"/>
        </w:rPr>
        <w:t xml:space="preserve">- Lippolis C. 2012, “Il banchetto di Mitridate: cerimoniali alla corte </w:t>
      </w:r>
      <w:proofErr w:type="spellStart"/>
      <w:r w:rsidRPr="00FE4853">
        <w:rPr>
          <w:rFonts w:ascii="Adobe Gurmukhi" w:hAnsi="Adobe Gurmukhi" w:cs="Adobe Hebrew"/>
          <w:iCs/>
          <w:sz w:val="22"/>
          <w:szCs w:val="22"/>
          <w:lang w:eastAsia="it-IT" w:bidi="it-IT"/>
        </w:rPr>
        <w:t>arsacide</w:t>
      </w:r>
      <w:proofErr w:type="spellEnd"/>
      <w:r w:rsidRPr="00FE4853">
        <w:rPr>
          <w:rFonts w:ascii="Adobe Gurmukhi" w:hAnsi="Adobe Gurmukhi" w:cs="Adobe Hebrew"/>
          <w:iCs/>
          <w:sz w:val="22"/>
          <w:szCs w:val="22"/>
          <w:lang w:eastAsia="it-IT" w:bidi="it-IT"/>
        </w:rPr>
        <w:t xml:space="preserve">”, in Lucio Milano (ed.) Mangiare divinamente. Pratiche e simbologie alimentari nell'antico Oriente, </w:t>
      </w:r>
      <w:proofErr w:type="spellStart"/>
      <w:r w:rsidRPr="00FE4853">
        <w:rPr>
          <w:rFonts w:ascii="Adobe Gurmukhi" w:hAnsi="Adobe Gurmukhi" w:cs="Adobe Hebrew"/>
          <w:iCs/>
          <w:sz w:val="22"/>
          <w:szCs w:val="22"/>
          <w:lang w:eastAsia="it-IT" w:bidi="it-IT"/>
        </w:rPr>
        <w:t>Eothen</w:t>
      </w:r>
      <w:proofErr w:type="spellEnd"/>
      <w:r w:rsidRPr="00FE4853">
        <w:rPr>
          <w:rFonts w:ascii="Adobe Gurmukhi" w:hAnsi="Adobe Gurmukhi" w:cs="Adobe Hebrew"/>
          <w:iCs/>
          <w:sz w:val="22"/>
          <w:szCs w:val="22"/>
          <w:lang w:eastAsia="it-IT" w:bidi="it-IT"/>
        </w:rPr>
        <w:t>, vol. 20, Firenze, 289-310.</w:t>
      </w:r>
    </w:p>
    <w:p w14:paraId="78F8080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5E580EA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Masturzo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N. 2012, “Nimrud-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Kalkhu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. A re-examination of the topographical studies conducted between 1987 and 1989”, Mesopotamia XLVII, 117-120.</w:t>
      </w:r>
    </w:p>
    <w:p w14:paraId="7336823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0D2E739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C. 2012, “An Assyrian King in Turin”, ISIMU 14-15 (2011-2012) </w:t>
      </w:r>
      <w:r w:rsidRPr="00FE4853">
        <w:rPr>
          <w:rFonts w:ascii="Adobe Gurmukhi" w:hAnsi="Adobe Gurmukhi" w:cs="Adobe Hebrew"/>
          <w:i/>
          <w:iCs/>
          <w:sz w:val="22"/>
          <w:szCs w:val="22"/>
          <w:lang w:val="en-US" w:eastAsia="it-IT" w:bidi="it-IT"/>
        </w:rPr>
        <w:t>in Memoriam D. George</w:t>
      </w: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45- 56.</w:t>
      </w:r>
    </w:p>
    <w:p w14:paraId="4A161CC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4D5B213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 </w:t>
      </w:r>
      <w:r w:rsidRPr="00FE4853">
        <w:rPr>
          <w:rFonts w:ascii="Adobe Gurmukhi" w:hAnsi="Adobe Gurmukhi" w:cs="Adobe Hebrew"/>
          <w:sz w:val="22"/>
          <w:szCs w:val="22"/>
          <w:lang w:val="sq-AL" w:eastAsia="it-IT"/>
        </w:rPr>
        <w:t>2011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“Old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: The Italian-Turkmen Archeological Project”, in</w:t>
      </w:r>
      <w:r w:rsidRPr="00FE4853">
        <w:rPr>
          <w:rFonts w:ascii="Adobe Gurmukhi" w:hAnsi="Adobe Gurmukhi" w:cs="Adobe Hebrew"/>
          <w:sz w:val="22"/>
          <w:szCs w:val="22"/>
          <w:lang w:val="sq-AL" w:eastAsia="it-IT"/>
        </w:rPr>
        <w:t xml:space="preserve"> M. Mamedov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(ed.)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Monuments of History and Culture of Turkmenistan (Discoveries, researches and restoration for 20 years of Independence)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</w:t>
      </w: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National Department of Protection, Research &amp; Restoration of Historical and Cultural Sites</w:t>
      </w:r>
      <w:r w:rsidRPr="00FE4853">
        <w:rPr>
          <w:rFonts w:ascii="Adobe Gurmukhi" w:hAnsi="Adobe Gurmukhi" w:cs="Adobe Hebrew"/>
          <w:sz w:val="22"/>
          <w:szCs w:val="22"/>
          <w:lang w:val="sq-AL" w:eastAsia="it-IT"/>
        </w:rPr>
        <w:t>, Ashgabat, 286-301.</w:t>
      </w:r>
    </w:p>
    <w:p w14:paraId="3C1503E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0D44A4F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 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2011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“</w:t>
      </w: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The main phases in the production of the Assyrian reliefs”, in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C.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(Ed.),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The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Sennacherib Wall Reliefs at Nineveh,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di Mesopotamia XV, Firenze, 23-64.</w:t>
      </w:r>
    </w:p>
    <w:p w14:paraId="1D7979F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5848B13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C., Benetti M. 2011, </w:t>
      </w: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Osservazioni sui codici di rappresentazione visiva nei rilievi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Sennacherib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, </w:t>
      </w: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lastRenderedPageBreak/>
        <w:t xml:space="preserve">in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C. Lippolis (Ed.),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The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Sennacherib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Wall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Reliefs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at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Nineveh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Monografie di Mesopotamia XV, Firenze, 79-111.</w:t>
      </w:r>
    </w:p>
    <w:p w14:paraId="77C3D64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2EFF9A2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2011, “I cavalli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Mithradatkert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. Matrici in gesso da Nisa Vecchia”, in C. Lippolis. S. de Martino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),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Un impaziente desiderio di scorrere il mondo. Studi in onore di A. Invernizzi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Monografie di Mesopotamia XIV, Firenze, 285-301.</w:t>
      </w:r>
    </w:p>
    <w:p w14:paraId="1EC9FE3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462A96B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C., Baggio P.,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Monopoli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B. 2011, “Babylon’s Urban Layout and Territory from Above”, Mesopotamia XLVI, 1-9.</w:t>
      </w:r>
    </w:p>
    <w:p w14:paraId="6AE3D0CD" w14:textId="77777777" w:rsidR="00FE4853" w:rsidRPr="00FE4853" w:rsidRDefault="00FE4853" w:rsidP="00FE4853">
      <w:pPr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</w:pPr>
    </w:p>
    <w:p w14:paraId="40CE33C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  <w:t xml:space="preserve">- </w:t>
      </w:r>
      <w:proofErr w:type="spellStart"/>
      <w:r w:rsidRPr="00FE4853"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  <w:t>Lippolis</w:t>
      </w:r>
      <w:proofErr w:type="spellEnd"/>
      <w:r w:rsidRPr="00FE4853"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  <w:t xml:space="preserve"> C. 2011, “Some considerations on the planning and use of color in the architecture of Parthian </w:t>
      </w:r>
      <w:proofErr w:type="spellStart"/>
      <w:r w:rsidRPr="00FE4853"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  <w:t>Nisa</w:t>
      </w:r>
      <w:proofErr w:type="spellEnd"/>
      <w:r w:rsidRPr="00FE4853"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  <w:t xml:space="preserve">, </w:t>
      </w:r>
      <w:r w:rsidRPr="00FE4853">
        <w:rPr>
          <w:rFonts w:ascii="Adobe Gurmukhi" w:hAnsi="Adobe Gurmukhi" w:cs="Adobe Hebrew"/>
          <w:i/>
          <w:iCs/>
          <w:sz w:val="22"/>
          <w:szCs w:val="22"/>
          <w:lang w:val="en-US" w:eastAsia="it-IT" w:bidi="it-IT"/>
        </w:rPr>
        <w:t>TOPOI ORIENT OCCIDENT</w:t>
      </w:r>
      <w:r w:rsidRPr="00FE4853">
        <w:rPr>
          <w:rFonts w:ascii="Adobe Gurmukhi" w:hAnsi="Adobe Gurmukhi" w:cs="Adobe Hebrew"/>
          <w:iCs/>
          <w:sz w:val="22"/>
          <w:szCs w:val="22"/>
          <w:lang w:val="en-US" w:eastAsia="it-IT" w:bidi="it-IT"/>
        </w:rPr>
        <w:t>, vol. 17/1, Paris, 209-228.</w:t>
      </w:r>
    </w:p>
    <w:p w14:paraId="41A4EA9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6EC8EE3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C. 2010, “Parthian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. Some consideration based on new research”, in P.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Callieri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L.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Colliva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(eds)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Proceedings of the 19th meeting of the EASAA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Ravenna (July 2007), BAR Int. Ser. 2133, Oxford, 165-177.</w:t>
      </w:r>
    </w:p>
    <w:p w14:paraId="2D67666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72D0870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C. 2010, “Notes on Parthian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on the light of new research”,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Problema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istorii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filologii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kul’tury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1 (27), 36-46, Moskva.</w:t>
      </w:r>
    </w:p>
    <w:p w14:paraId="44DA3E2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038EAFF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2010, “I rilievi assiri nelle collezioni museali italiane”, in </w:t>
      </w:r>
      <w:r w:rsidRPr="00FE4853">
        <w:rPr>
          <w:rFonts w:ascii="Adobe Gurmukhi" w:hAnsi="Adobe Gurmukhi" w:cs="Adobe Hebrew"/>
          <w:i/>
          <w:iCs/>
          <w:sz w:val="22"/>
          <w:szCs w:val="22"/>
          <w:lang w:eastAsia="it-IT"/>
        </w:rPr>
        <w:t>Il fascino dell'Oriente nelle collezioni dei musei d'Italia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della mostra, Frascati, Scuderie Aldobrandini, 6 novembre 2010 - 9 gennaio 2011, Roma, 56-57.</w:t>
      </w:r>
    </w:p>
    <w:p w14:paraId="1400614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6D9FD6F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C. 2009, “Notes on the Iranian Traditions in the Architecture of Parthian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”, Electrum15, 53-70.</w:t>
      </w:r>
    </w:p>
    <w:p w14:paraId="2807F36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5412103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C., Radicati B.,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Appolonia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L. 2009, “Nisa Partica (Turkmenistan). Una collaborazione scientifica incrociata”,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Scienza e Patrimonio Culturale nel </w:t>
      </w:r>
      <w:proofErr w:type="spellStart"/>
      <w:proofErr w:type="gram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Mediterraneo,Atti</w:t>
      </w:r>
      <w:proofErr w:type="spellEnd"/>
      <w:proofErr w:type="gram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del III convegno internazionale di studi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Palermo 18-21 ottobre 2007, (I Quaderni di Palazzo Montalbo n. 15), 240-248. </w:t>
      </w:r>
    </w:p>
    <w:p w14:paraId="5405A8C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82807F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C. 2009, “The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Colour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in Parthian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”,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Proceedings of the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II International Symposium of Conservation and Research of the Terracotta Army and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Polichrome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 Cultural Relics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,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Xi’an, March 23rd-25th 2009, Xi’an, 426-433.</w:t>
      </w:r>
    </w:p>
    <w:p w14:paraId="32C5B73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66128CD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2008, “L’Edificio Rosso. Gli scavi: i livelli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arsacidi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Invernizzi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A.,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Lippolis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 2008,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lastRenderedPageBreak/>
        <w:t>Partica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Ricerche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nel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complesso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monumentale arsacide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Mesopotamia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IX, Firenze, 83-142.</w:t>
      </w:r>
    </w:p>
    <w:p w14:paraId="70B15E4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</w:p>
    <w:p w14:paraId="5F7BC68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Lippolis C. 2008, “I livelli medievali nei settori dell’Edificio Rosso e della Sala Rotonda”,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Invernizzi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A.,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Lippolis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 2008,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Partica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Ricerche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nel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complesso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monumentale arsacide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Mesopotamia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IX, Firenze, 151-166.</w:t>
      </w:r>
    </w:p>
    <w:p w14:paraId="2A7B198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</w:p>
    <w:p w14:paraId="4F903C7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Lippolis C. 2008, “Materiali, tecniche costruttive e catalogo degli elementi architettonici”,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Invernizzi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A.,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Lippolis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 2008,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Partica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Ricerche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nel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complesso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monumentale arsacide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Mesopotamia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IX, Firenze, 216-268.</w:t>
      </w:r>
    </w:p>
    <w:p w14:paraId="6B6D9AC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</w:p>
    <w:p w14:paraId="66D8429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Lippolis C. 2008, “Conclusioni”,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Invernizzi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A.,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Lippolis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 2008,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Partica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Ricerche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nel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complesso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monumentale arsacide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Mesopotamia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IX, Firenze, 365-387.</w:t>
      </w:r>
    </w:p>
    <w:p w14:paraId="117FD44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0007D5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C., Messina V., 2008, “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Preliminary Report on the 2007 Italian Excavations in Parthian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Parthica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10, 53-61.</w:t>
      </w:r>
    </w:p>
    <w:p w14:paraId="5DD4631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37EB55E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2008, “I guardiani di Babilonia: animali ed esseri fantastici della grande metropoli mesopotamica”, in G. Ligabue, G. Rossi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Osmida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),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Animali e Mito nel Vicino Oriente Antico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Trebaseleghe, 115-127.</w:t>
      </w:r>
    </w:p>
    <w:p w14:paraId="5A4A8CB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9059C4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2008, “La Sala Rotonda. Gli scavi”,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Invernizzi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A.,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Lippolis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C. 2008,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Partica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.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Ricerche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nel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complesso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monumentale arsacide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Monografie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Mesopotamia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IX, Firenze, 7-42.</w:t>
      </w:r>
    </w:p>
    <w:p w14:paraId="674A22E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222A6F6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 Lippolis C. 2007, “Nisa-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Mitridatkert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. Alle origini dell’arte dei Parti”, in V. Messina (a cura di),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147-153.</w:t>
      </w:r>
    </w:p>
    <w:p w14:paraId="5100C10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24FAC22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 Lippolis C. 2007, “Scene di assedio nella suite della sala del trono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Ninive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in Lippolis C. (a cura di),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Ninive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. Il Palazzo senza eguali di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Sennacherib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 luglio-settembre 2007, Milano, 79-93.</w:t>
      </w:r>
    </w:p>
    <w:p w14:paraId="42F70F0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1B07AC7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 2007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, “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La fortezza romana </w:t>
      </w:r>
      <w:proofErr w:type="gramStart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di 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Kifrin</w:t>
      </w:r>
      <w:proofErr w:type="spellEnd"/>
      <w:proofErr w:type="gramEnd"/>
      <w:r w:rsidRPr="00FE4853">
        <w:rPr>
          <w:rFonts w:ascii="Adobe Gurmukhi" w:hAnsi="Adobe Gurmukhi" w:cs="Adobe Hebrew"/>
          <w:sz w:val="22"/>
          <w:szCs w:val="22"/>
          <w:lang w:eastAsia="it-IT"/>
        </w:rPr>
        <w:t>”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, Atti dei Lincei della Giornata in memoria di Giorgio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Gullini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,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Roma, 153-166. </w:t>
      </w:r>
    </w:p>
    <w:p w14:paraId="106F80C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20AB692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2007, “Ricerche a Nisa Partica: arte ed architettura dei primi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Arsacidi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Atti dei Lincei della Giornata in memoria di Giorgio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Gullini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, Roma, 193-210.</w:t>
      </w:r>
    </w:p>
    <w:p w14:paraId="6AEE768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5946061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2007, “Lusso e ostentazione alla corte assira”,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La ricchezza nel Vicino Oriente Antico, Atti del Convegno internazionale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20 gennaio 2007, Milano, 97-116.</w:t>
      </w:r>
    </w:p>
    <w:p w14:paraId="6E6378B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91BDE3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2007, “Note su tre sigilli da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Khirbet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Hatara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”, Mesopotamia XLII, 231-234.</w:t>
      </w:r>
    </w:p>
    <w:p w14:paraId="3D2827F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4891F5B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2006,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“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La Sala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Rotonda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e l’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Edificio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Rosso.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Bilancio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prospettive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delle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attività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della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missione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italiana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Vecchia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”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Topoi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14/1, 179-206.</w:t>
      </w:r>
    </w:p>
    <w:p w14:paraId="228B3B4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526ED50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</w:t>
      </w:r>
      <w:proofErr w:type="gram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2006,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“</w:t>
      </w:r>
      <w:proofErr w:type="gram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I Greci in Mesopotamia”, in Giovanni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Curatola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Jean-Daniel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Forest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Nathalie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Gallois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Carlo Lippolis, Roberta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Venco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Ricciardi,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Iraq – l’arte dai Sumeri ai Califfi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a cura di G.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Curatola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97-114 (anche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inglese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francese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spagnolo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).</w:t>
      </w:r>
    </w:p>
    <w:p w14:paraId="00F0835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25EC0AE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C. 2006,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Kifrin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avant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-poste sur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l’Euphrate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”, in C.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Kepinskj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A.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Tenu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, O.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Lecomte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(eds), </w:t>
      </w:r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Studia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Euphratica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 –The Middle Euphrates in the light of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the Haditha Dam Savage Excavations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, 367-396.</w:t>
      </w:r>
    </w:p>
    <w:p w14:paraId="6B6B3FB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0C796316" w14:textId="77777777" w:rsidR="00FE4853" w:rsidRPr="00FE4853" w:rsidRDefault="00FE4853" w:rsidP="00FE4853">
      <w:pPr>
        <w:numPr>
          <w:ilvl w:val="0"/>
          <w:numId w:val="1"/>
        </w:num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Lippolis C. 2005, “Osservazioni sui fregi in pietra dall’Edificio Rosso di Nisa Vecchia”,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Electrum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10, 59-74.</w:t>
      </w:r>
    </w:p>
    <w:p w14:paraId="27DAF30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15A9F138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. 2005, “Seals. Amulets. Metal Objects”, An Endangered Cultural Heritage – Iraqi Antiquities Recovered in Jordan,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Monografie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 di Mesopotamia VII, Firenze, 13-20.</w:t>
      </w:r>
    </w:p>
    <w:p w14:paraId="3397A22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5B33629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 2004,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Novje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Issledovanija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Staroj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Nisj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”, in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Kulturnje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Zennosti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(2000-2001), Biblioteca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Turkmennica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, St. Pietroburgo, 195-200.</w:t>
      </w:r>
    </w:p>
    <w:p w14:paraId="5D5B1BB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0B423C6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 2004, “Nisa-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Mithradatkert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: l’edificio a nord della Sala Rotonda.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Rapporto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preliminare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delle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campagne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scavo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2002-2003”,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>Parthica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/>
        </w:rPr>
        <w:t xml:space="preserve"> 6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, 161-178.</w:t>
      </w:r>
    </w:p>
    <w:p w14:paraId="071412D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28245AC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 2003,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Nisa-Mithradatkert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: the building to the north of the Round Hall. Preliminary Report of the 2000-2001 excavations campaign”,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 xml:space="preserve">Central Asia Cultural Values, 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vol.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I, n. 2,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June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2003, 1-17.</w:t>
      </w:r>
    </w:p>
    <w:p w14:paraId="15BBBB3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5E092F6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 2002,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Kifrin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: esempi di architettura tra innovazione e tradizione”,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Electrum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6, 87-98.</w:t>
      </w:r>
    </w:p>
    <w:p w14:paraId="216C4BC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52A3BE1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Lippolis C. 2002, “Nisa-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Mithradatkert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: l’edificio a Nord della Sala Rotonda. Rapporto preliminare delle campagne di scavo 2000-2001”,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Parthica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4, 47-62.</w:t>
      </w:r>
    </w:p>
    <w:p w14:paraId="6EC0B6B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22FAC47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b/>
          <w:i/>
          <w:sz w:val="22"/>
          <w:szCs w:val="22"/>
          <w:lang w:eastAsia="it-IT"/>
        </w:rPr>
        <w:lastRenderedPageBreak/>
        <w:t>Schede, interventi su cataloghi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:  </w:t>
      </w:r>
    </w:p>
    <w:p w14:paraId="29F1196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2019:</w:t>
      </w:r>
    </w:p>
    <w:p w14:paraId="216856C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de Martino S., Lippolis C., “Le attività del CRAST e il patrimonio culturale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iraqeno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in E. Graziani (ed.)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Gli Assiri all’ombra del Vesuvio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(Museo Archeologico Nazionale di Napoli), Milano, 187-193.</w:t>
      </w:r>
    </w:p>
    <w:p w14:paraId="3AD5689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2819EBA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2011:</w:t>
      </w:r>
    </w:p>
    <w:p w14:paraId="05714E9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Lippolis C.,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Ctesifonte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”, in F. D’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Arelli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P.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Callieri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.)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A Oriente. Città, uomini e dei sulle vie della seta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Milano, 101.</w:t>
      </w:r>
    </w:p>
    <w:p w14:paraId="66E1AFA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7B1D8D7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2007: </w:t>
      </w:r>
    </w:p>
    <w:p w14:paraId="37C8CD3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“Lastra con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Atargatis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Hadad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176.</w:t>
      </w:r>
    </w:p>
    <w:p w14:paraId="2D76BA9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“Fregio di porta”,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187.</w:t>
      </w:r>
    </w:p>
    <w:p w14:paraId="3EE0D80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“Concio di archivolto figurato”,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187-188.</w:t>
      </w:r>
    </w:p>
    <w:p w14:paraId="52CC154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“Capitello”,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188.</w:t>
      </w:r>
    </w:p>
    <w:p w14:paraId="7A58257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–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Semicapitello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figurato”,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188-189.</w:t>
      </w:r>
    </w:p>
    <w:p w14:paraId="22A34C8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“Mattone decorato”,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189.</w:t>
      </w:r>
    </w:p>
    <w:p w14:paraId="6DBBDDB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“Cornice”,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189.</w:t>
      </w:r>
    </w:p>
    <w:p w14:paraId="5B34926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“Decorazione parietale”,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189.</w:t>
      </w:r>
    </w:p>
    <w:p w14:paraId="0AE2A2F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“Arciere a cavallo”,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190.</w:t>
      </w:r>
    </w:p>
    <w:p w14:paraId="3391994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“Cavaliere”,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190-191.</w:t>
      </w:r>
    </w:p>
    <w:p w14:paraId="73B1BBD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– “Gettone”,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Sulla via di Alessandro. Da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Seleucia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al Gandhara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di Torino, febbraio-maggio 2007, Palazzo Madama, Milano, 225.</w:t>
      </w:r>
    </w:p>
    <w:p w14:paraId="0480F849" w14:textId="77777777" w:rsidR="00FE4853" w:rsidRPr="00FE4853" w:rsidRDefault="00FE4853" w:rsidP="00FE4853">
      <w:pPr>
        <w:rPr>
          <w:rFonts w:ascii="Adobe Gurmukhi" w:hAnsi="Adobe Gurmukhi" w:cs="Adobe Hebrew"/>
          <w:b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- 2011 - “La preda della caccia”, in </w:t>
      </w:r>
      <w:r w:rsidRPr="00FE4853">
        <w:rPr>
          <w:rFonts w:ascii="Adobe Gurmukhi" w:hAnsi="Adobe Gurmukhi" w:cs="Adobe Hebrew"/>
          <w:i/>
          <w:iCs/>
          <w:sz w:val="22"/>
          <w:szCs w:val="22"/>
          <w:lang w:eastAsia="it-IT"/>
        </w:rPr>
        <w:t>Il fascino dell'Oriente nelle collezioni dei musei d'Italia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della mostra, Frascati, Scuderie Aldobrandini, 6 novembre 2010 - 9 gennaio 2011, Roma, 58.</w:t>
      </w:r>
    </w:p>
    <w:p w14:paraId="62C1CAAE" w14:textId="77777777" w:rsidR="00FE4853" w:rsidRPr="00FE4853" w:rsidRDefault="00FE4853" w:rsidP="00FE4853">
      <w:pPr>
        <w:rPr>
          <w:rFonts w:ascii="Adobe Gurmukhi" w:hAnsi="Adobe Gurmukhi" w:cs="Adobe Hebrew"/>
          <w:b/>
          <w:sz w:val="22"/>
          <w:szCs w:val="22"/>
          <w:lang w:eastAsia="it-IT"/>
        </w:rPr>
      </w:pPr>
    </w:p>
    <w:p w14:paraId="3F895DF6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b/>
          <w:i/>
          <w:sz w:val="22"/>
          <w:szCs w:val="22"/>
          <w:lang w:eastAsia="it-IT"/>
        </w:rPr>
        <w:t>Voci su enciclopedia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:</w:t>
      </w:r>
    </w:p>
    <w:p w14:paraId="13E67DA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lastRenderedPageBreak/>
        <w:t>2005:</w:t>
      </w:r>
    </w:p>
    <w:p w14:paraId="0C6F875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Nisa Partica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voce sull’Enciclopedia Archeologica Treccani (Collana il Mondo dell’Archeologia – Asia), 380-381.</w:t>
      </w:r>
    </w:p>
    <w:p w14:paraId="2DA7473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05637DB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Nisa (islamica)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voce sull’Enciclopedia Archeologica Treccani (Collana il Mondo dell’Archeologia – Asia), 988-989.</w:t>
      </w:r>
    </w:p>
    <w:p w14:paraId="54DBB26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0B58AF4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Babilonia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voce sull’Enciclopedia Archeologica Treccani (Collana il Mondo dell’Archeologia – Asia), 170-171.</w:t>
      </w:r>
    </w:p>
    <w:p w14:paraId="6448182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3CD4155E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Uruk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, voce sull’Enciclopedia Archeologica Treccani (Collana il Mondo dell’Archeologia – Asia), 200-201.</w:t>
      </w:r>
      <w:r w:rsidRPr="00FE4853">
        <w:rPr>
          <w:rFonts w:ascii="Adobe Gurmukhi" w:hAnsi="Adobe Gurmukhi" w:cs="Adobe Hebrew"/>
          <w:b/>
          <w:i/>
          <w:sz w:val="22"/>
          <w:szCs w:val="22"/>
          <w:lang w:eastAsia="it-IT"/>
        </w:rPr>
        <w:t xml:space="preserve"> </w:t>
      </w:r>
    </w:p>
    <w:p w14:paraId="2F4498A2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eastAsia="it-IT"/>
        </w:rPr>
      </w:pPr>
    </w:p>
    <w:p w14:paraId="75A03E63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b/>
          <w:i/>
          <w:sz w:val="22"/>
          <w:szCs w:val="22"/>
          <w:lang w:eastAsia="it-IT"/>
        </w:rPr>
        <w:t>Articoli-recensione su riviste scientifiche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(classe 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Anvur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):</w:t>
      </w:r>
    </w:p>
    <w:p w14:paraId="1F865D5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C. 2001,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recensione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a V.N.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Pilipko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“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Staraja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Nisa.Zdanie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 xml:space="preserve"> s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Kvadratnym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Zalom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Parthica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3, 221-234.</w:t>
      </w:r>
    </w:p>
    <w:p w14:paraId="00B8AD4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47DD27C2" w14:textId="77777777" w:rsidR="00FE4853" w:rsidRPr="00FE4853" w:rsidRDefault="00FE4853" w:rsidP="00FE4853">
      <w:pPr>
        <w:rPr>
          <w:rFonts w:ascii="Adobe Gurmukhi" w:hAnsi="Adobe Gurmukhi" w:cs="Adobe Hebrew"/>
          <w:b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C. 2003,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recensione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a V.N.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Pilipko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Staraja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Osnovnye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itogi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arheologicheskogo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izuchenija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v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sovetslij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period”,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Parthica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5, 155-165.</w:t>
      </w:r>
    </w:p>
    <w:p w14:paraId="0A4B0D94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val="en-US" w:eastAsia="it-IT"/>
        </w:rPr>
      </w:pPr>
    </w:p>
    <w:p w14:paraId="7C54AC5F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val="en-US" w:eastAsia="it-IT"/>
        </w:rPr>
      </w:pPr>
    </w:p>
    <w:p w14:paraId="5765AEE6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b/>
          <w:i/>
          <w:sz w:val="22"/>
          <w:szCs w:val="22"/>
          <w:lang w:eastAsia="it-IT" w:bidi="it-IT"/>
        </w:rPr>
        <w:t>Schede bibliografiche e recensioni su riviste scientifiche</w:t>
      </w:r>
      <w:r w:rsidRPr="00FE4853">
        <w:rPr>
          <w:rFonts w:ascii="Adobe Gurmukhi" w:hAnsi="Adobe Gurmukhi" w:cs="Adobe Hebrew"/>
          <w:i/>
          <w:sz w:val="22"/>
          <w:szCs w:val="22"/>
          <w:lang w:eastAsia="it-IT" w:bidi="it-IT"/>
        </w:rPr>
        <w:t xml:space="preserve"> (classe A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 w:bidi="it-IT"/>
        </w:rPr>
        <w:t>Anvur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 w:bidi="it-IT"/>
        </w:rPr>
        <w:t xml:space="preserve">): </w:t>
      </w:r>
    </w:p>
    <w:p w14:paraId="72F3871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03927FE2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i/>
          <w:sz w:val="22"/>
          <w:szCs w:val="22"/>
          <w:lang w:eastAsia="it-IT" w:bidi="it-IT"/>
        </w:rPr>
        <w:t>MESOPOTAMIA</w:t>
      </w:r>
    </w:p>
    <w:p w14:paraId="2640C4C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VOL. XXIX – 1994</w:t>
      </w:r>
    </w:p>
    <w:p w14:paraId="1DC9478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- M.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Gichon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, "En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Boqeq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Ausgrabungen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einer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Oase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am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Toten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Meer, I", 347-350.</w:t>
      </w:r>
    </w:p>
    <w:p w14:paraId="4DC8F17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30E40E4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XXX – 1995</w:t>
      </w:r>
    </w:p>
    <w:p w14:paraId="3804FF3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R.B.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Wartke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hrg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.),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Handwerk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und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Technologie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im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Alten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Orient", 260-263.</w:t>
      </w:r>
    </w:p>
    <w:p w14:paraId="32C045D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E. Dabrowa, "The Roman and Byzantine army in the East", 327-329.</w:t>
      </w:r>
    </w:p>
    <w:p w14:paraId="15430C1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483290F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XXXI – 1996</w:t>
      </w:r>
    </w:p>
    <w:p w14:paraId="56EF19D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Archäologische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Mitteilungen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aus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Iran", 26 (1993), 204-207.</w:t>
      </w:r>
    </w:p>
    <w:p w14:paraId="2DBEE7A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M. Müller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Karpe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Metalgefässen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in Iraq I", 255-257.</w:t>
      </w:r>
    </w:p>
    <w:p w14:paraId="0FC8F0D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2ACD454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XXXII – 1997</w:t>
      </w:r>
    </w:p>
    <w:p w14:paraId="1FE752F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lastRenderedPageBreak/>
        <w:t>-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Archäologische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Mitteilungen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aus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Iran", 27 (1994), 309-312.</w:t>
      </w:r>
    </w:p>
    <w:p w14:paraId="0867957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K.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Bartl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R.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Bernbeck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und M. Heinz,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Zwischen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Euphrat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und Indus", 313-315.</w:t>
      </w:r>
    </w:p>
    <w:p w14:paraId="08DDE31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H.G. Niemeyer, R. Rolle,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Beiträge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zur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Archäologie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im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nördlichen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Schwarzmeerraum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396-399.</w:t>
      </w:r>
    </w:p>
    <w:p w14:paraId="435E335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G.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Schörner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Römische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Rankenfriese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399-401.</w:t>
      </w:r>
    </w:p>
    <w:p w14:paraId="0FE5453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J-Fr. </w:t>
      </w: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Breton,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Les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fortifications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d’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Arabie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méridionale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", 401-404.</w:t>
      </w:r>
    </w:p>
    <w:p w14:paraId="699DEF7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6AF81B1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VOL. XXXIII – 1998</w:t>
      </w:r>
    </w:p>
    <w:p w14:paraId="4B352FE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-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Archäologische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Mitteilungen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aus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Iran", 28 (1995-1996), 327-331.</w:t>
      </w:r>
    </w:p>
    <w:p w14:paraId="527BA13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- "Eurasia Antiqua", 1 (1995) e 2 (1996), 331-332.</w:t>
      </w:r>
    </w:p>
    <w:p w14:paraId="6BE55F5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"Eurasia Antiqua", 2 (1996), 334-338.</w:t>
      </w:r>
    </w:p>
    <w:p w14:paraId="5987D06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K. Bart, S.H. Hauser, "Continuity and change in northern Mesopotamia", 338-344.</w:t>
      </w:r>
    </w:p>
    <w:p w14:paraId="4A527E4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J. Reade, "The Indian Ocean in Antiquity", 344-350.</w:t>
      </w:r>
    </w:p>
    <w:p w14:paraId="59C3E7A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B.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Funck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(ed.),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Hellenismus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404-410.</w:t>
      </w:r>
    </w:p>
    <w:p w14:paraId="4B9AB46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J.G.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Vinogradov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Pontische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Studien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410-415.</w:t>
      </w:r>
    </w:p>
    <w:p w14:paraId="0908B3B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Sh. Gregory, "Roman military architecture on the eastern frontier", 415-419.</w:t>
      </w:r>
    </w:p>
    <w:p w14:paraId="2DE3E99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K.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Schippmann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Geschichte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der alt-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südarabischen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Reiche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420-422.</w:t>
      </w:r>
    </w:p>
    <w:p w14:paraId="1B8646B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0952A42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XXXIV - XXXV – 1999 – 2000</w:t>
      </w:r>
    </w:p>
    <w:p w14:paraId="4271552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Fr. Breton,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Fouilles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de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Shabwa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III, Architecture et techniques de construction", 243-244.</w:t>
      </w:r>
    </w:p>
    <w:p w14:paraId="10DD585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R.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Gogräfe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Syrien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244-246.</w:t>
      </w:r>
    </w:p>
    <w:p w14:paraId="1693F0C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J.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Willeitner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H.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Dollhopf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Lybien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244-246.</w:t>
      </w:r>
    </w:p>
    <w:p w14:paraId="4487F77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2F2CE0B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VOL. XXXVI – 2001</w:t>
      </w:r>
    </w:p>
    <w:p w14:paraId="67B6134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- "Eurasia Antiqua", Band 3 (1997), 119-120.</w:t>
      </w:r>
    </w:p>
    <w:p w14:paraId="4F0DED6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645A1A4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XXXIX – 2004</w:t>
      </w:r>
    </w:p>
    <w:p w14:paraId="6FAF120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Archäologische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Berichte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aus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dem Yemen", Band IX (2002), 186-187.</w:t>
      </w:r>
    </w:p>
    <w:p w14:paraId="2A53502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D.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Bonatz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"Das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syro-hethitische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Grabmal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204-205.</w:t>
      </w:r>
    </w:p>
    <w:p w14:paraId="593728F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Ch.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Strube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Baudekoration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im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Nordsyrischen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Kalksteinmassiv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Band II: das 6. und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frühe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7.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Jahrhundert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205-206.</w:t>
      </w:r>
    </w:p>
    <w:p w14:paraId="342B26B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B.A.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Litvinskij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I.R.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Picikian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Taxt-i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Sangin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. Der Oxus-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Tempel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Grabungsbefund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Stratigraphie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und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Architektur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207-208.</w:t>
      </w:r>
    </w:p>
    <w:p w14:paraId="7678B03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0F0D0C3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XL – 2005</w:t>
      </w:r>
    </w:p>
    <w:p w14:paraId="029B6D7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G.J.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Selz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Sumerer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und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Akkader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Geschichte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– Gesellschaft - Kultur", 181.</w:t>
      </w:r>
    </w:p>
    <w:p w14:paraId="1FC3E20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W.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Nützel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Einführung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in die Geo-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Archäologie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des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Vorderen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Oriens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191.</w:t>
      </w:r>
    </w:p>
    <w:p w14:paraId="38C3C27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lastRenderedPageBreak/>
        <w:t xml:space="preserve">- B. Geyer, J-Y.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Monchambert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"La Basse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Vallée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de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l’Euphrate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syrien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du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Néolithique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à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l’avènement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de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l’Islam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: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géographie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archéologie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et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historie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192-193.</w:t>
      </w:r>
    </w:p>
    <w:p w14:paraId="4907895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M. Heinz, D.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Bonatz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"Bild-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Macht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Geschichte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Visuelle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Kommunication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in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Alten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Orient”, 193-194.</w:t>
      </w:r>
    </w:p>
    <w:p w14:paraId="412BFCE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-B. Jahn,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Altbabylonische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Wohnhäuser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eine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Gegenüberstellung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philologischer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und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archäologischer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Quellen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", 197-198.</w:t>
      </w:r>
    </w:p>
    <w:p w14:paraId="4F93371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C.E. Watanabe, "Animal Symbolism in Mesopotamia – A contextual Approach", 198-200. </w:t>
      </w:r>
    </w:p>
    <w:p w14:paraId="5DB628A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B.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Newling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Porter, "Trees, Kings and Politics. Studies in Assyrian Iconography", 200-201.</w:t>
      </w:r>
    </w:p>
    <w:p w14:paraId="304275B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A.V.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Sedov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"Temples of Ancient Hadramawt", 204.</w:t>
      </w:r>
    </w:p>
    <w:p w14:paraId="00A9FE2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C.J.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Dentzer-Feydy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, J.-M.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Dentzer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, P.-M. Blanc (eds.),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Hauran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 II – Les installations de Si’ 8.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Du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sanctuaire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à l’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établissement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viticole", 208-209.</w:t>
      </w:r>
    </w:p>
    <w:p w14:paraId="148761B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28BBF9D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VOL. XLI – 2006</w:t>
      </w:r>
    </w:p>
    <w:p w14:paraId="4E6C0B4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- M.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Sommer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, "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Roms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orientalische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Steppengrenze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, Palmyra-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Edessa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-Dura Europos-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Hatra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Eine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Kulturgeschichte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von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Pompeius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bis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Diocletian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", 49-51.</w:t>
      </w:r>
    </w:p>
    <w:p w14:paraId="21F9690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783F764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XLII – 2007</w:t>
      </w:r>
    </w:p>
    <w:p w14:paraId="35AA67B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O. Kaelin, "Modell Ägypten. Adoption von Innovationen im Mesopotamien des 3. Jahrtausends v. Chr. ", 280-281.</w:t>
      </w:r>
    </w:p>
    <w:p w14:paraId="655A18D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R.A. Stucky "Das Eschmun-Heiligtum von Sidon. Architektur und Inschriften", 291-292.</w:t>
      </w:r>
    </w:p>
    <w:p w14:paraId="4C78F5B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5777F52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XLIII – 2008</w:t>
      </w:r>
    </w:p>
    <w:p w14:paraId="3004BA6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D. Morandi Bonacossi (ed.), "Urban and Natural Landscapes of an Ancient Syrian Capital. Settlement and Environment at Tell Mishrifeh/Qatna and in Central-Western Syria", 171-172.</w:t>
      </w:r>
    </w:p>
    <w:p w14:paraId="4070B89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- J.-C.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Bessac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, "Le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travail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de la pierre à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Pétra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Technique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et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économie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de la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taille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rupestre", 189-190.</w:t>
      </w:r>
    </w:p>
    <w:p w14:paraId="3F66869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5B474EB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XLIV – 2009</w:t>
      </w:r>
    </w:p>
    <w:p w14:paraId="59A38AD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J.E. Curtis, N. Tallis, “The Balawat Gates of Ashurnasirpal II”, 184-185.</w:t>
      </w:r>
    </w:p>
    <w:p w14:paraId="7213059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G. Emberling, K. Hanson, “Catastrophe! The Looting and Destruction of Iraq’s Past”, 185-186.</w:t>
      </w:r>
    </w:p>
    <w:p w14:paraId="5ECA72B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17A059F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VOL. XLVI – 2011</w:t>
      </w:r>
    </w:p>
    <w:p w14:paraId="7DA7E6A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A. Schachner, “Assyriens Könige an einer der Quellen des Tigris”, 185-187.</w:t>
      </w:r>
    </w:p>
    <w:p w14:paraId="2D48FFB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6487085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VOL. XLVIII – 2013</w:t>
      </w:r>
    </w:p>
    <w:p w14:paraId="2B57CAEC" w14:textId="77777777" w:rsidR="00FE4853" w:rsidRPr="00FE4853" w:rsidRDefault="00FE4853" w:rsidP="00FE4853">
      <w:pPr>
        <w:numPr>
          <w:ilvl w:val="0"/>
          <w:numId w:val="1"/>
        </w:num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C.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Kepinski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,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Haradum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III.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Hradu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forteresse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du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moyen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Euphrate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iraquien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”, 237-238.</w:t>
      </w:r>
    </w:p>
    <w:p w14:paraId="621086F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2F178E2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VOL. L – 2015</w:t>
      </w:r>
    </w:p>
    <w:p w14:paraId="35B5136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lastRenderedPageBreak/>
        <w:t>-  P.V. Bartl, “Die Ritzverzierungen auf den relieforthostaten Assurna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ṣ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irpals II. aus Kal</w:t>
      </w:r>
      <w:r w:rsidRPr="00FE4853">
        <w:rPr>
          <w:rFonts w:ascii="Calibri" w:hAnsi="Calibri" w:cs="Calibri"/>
          <w:sz w:val="22"/>
          <w:szCs w:val="22"/>
          <w:lang w:val="en-US" w:eastAsia="it-IT"/>
        </w:rPr>
        <w:t>ḫ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u”, 263.</w:t>
      </w:r>
      <w:r w:rsidRPr="00FE4853">
        <w:rPr>
          <w:rFonts w:ascii="Arial" w:hAnsi="Arial" w:cs="Arial"/>
          <w:sz w:val="22"/>
          <w:szCs w:val="22"/>
          <w:lang w:val="en-US" w:eastAsia="it-IT"/>
        </w:rPr>
        <w:t> </w:t>
      </w:r>
    </w:p>
    <w:p w14:paraId="7EB6612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35BB313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695B455F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i/>
          <w:sz w:val="22"/>
          <w:szCs w:val="22"/>
          <w:lang w:val="en-US" w:eastAsia="it-IT" w:bidi="it-IT"/>
        </w:rPr>
        <w:t>PARTHICA</w:t>
      </w:r>
    </w:p>
    <w:p w14:paraId="6D81312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2 - 2000</w:t>
      </w:r>
    </w:p>
    <w:p w14:paraId="1048086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E. Dabrowa, “Ancient Iran and the Mediterranean World”, 172-175.</w:t>
      </w:r>
    </w:p>
    <w:p w14:paraId="3678144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37AF3AC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J. Wiesehöfer, “Das Parterreich und seine Zeugnisse”, 175-177.</w:t>
      </w:r>
    </w:p>
    <w:p w14:paraId="586F446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3FA0084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K.S. Freyberger, “Die frühkaiserzeitlichen Heiligtümer der Karavanenstationen im hellenisierten Osten”, 180-182.</w:t>
      </w:r>
    </w:p>
    <w:p w14:paraId="796A2BA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7918ED9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A. Kose, Uruk, Architektur IV. Von den Seleukiden bis zur Sasanidenzeit”, 182.</w:t>
      </w:r>
    </w:p>
    <w:p w14:paraId="4C60CBB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38734AE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3 - 2001</w:t>
      </w:r>
    </w:p>
    <w:p w14:paraId="3A0D2E3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M.J. Olbrycht, “Parthia et ulteriores gentes”, 247.</w:t>
      </w:r>
    </w:p>
    <w:p w14:paraId="26B3244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4183EDB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M. Schuol, “Die Charakene. Ein mesopotamisches Königreich in hellenistischer-partischer Zeit”, 248-249.</w:t>
      </w:r>
    </w:p>
    <w:p w14:paraId="7D43869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228EDAB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M. van Ess, T. Weber, “Baalbek. Im Bann römische Monumentalarchitektur”, 249-250.</w:t>
      </w:r>
    </w:p>
    <w:p w14:paraId="5D68AD1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13C6123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4 - 2002</w:t>
      </w:r>
    </w:p>
    <w:p w14:paraId="30B4C7C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M. Novak, A. Oettel, C. Witzel, “Der partisch-römische Friedhof von Tall Sheik Hamad/Magdala, Teil I”, 171-172.</w:t>
      </w:r>
    </w:p>
    <w:p w14:paraId="2260FF4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7E2EF6E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M. Konrad, “Der spätrömische Limes in Syrien”, 172-173.</w:t>
      </w:r>
    </w:p>
    <w:p w14:paraId="6AC3C6A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73A8C58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- E. Winter, B. Dignas, “Rom und das Perserreich”, 174-175.</w:t>
      </w:r>
    </w:p>
    <w:p w14:paraId="2CAE326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31D10837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>5 - 2003</w:t>
      </w:r>
    </w:p>
    <w:p w14:paraId="3B34FB8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 w:bidi="it-IT"/>
        </w:rPr>
        <w:t xml:space="preserve">- I. Nielsen, “The Royal Palace Institution in the 1st Mill. </w:t>
      </w: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BC”, 167-169.</w:t>
      </w:r>
    </w:p>
    <w:p w14:paraId="7AA3145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</w:p>
    <w:p w14:paraId="5D4FDEFD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i/>
          <w:sz w:val="22"/>
          <w:szCs w:val="22"/>
          <w:lang w:eastAsia="it-IT" w:bidi="it-IT"/>
        </w:rPr>
        <w:t>ABSTRACTA IRANICA</w:t>
      </w:r>
    </w:p>
    <w:p w14:paraId="5C2A6F2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2006 (29)</w:t>
      </w:r>
    </w:p>
    <w:p w14:paraId="62F6B31C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J.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Gaslain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"Le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bachlik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d'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Arsace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Ier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ou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la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représentation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du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nomade-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roi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", 59.</w:t>
      </w:r>
    </w:p>
    <w:p w14:paraId="2D421CC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5C55DAF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K. Jakubiak,i “The Origin and the Development of Military Architecture in the Province of Parthava in the Arsacid Period”, 37. </w:t>
      </w:r>
    </w:p>
    <w:p w14:paraId="64BD770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</w:p>
    <w:p w14:paraId="538BAD0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Takeuchi R., “The Parthian Shot in Hunting Scenes”, 68.</w:t>
      </w:r>
    </w:p>
    <w:p w14:paraId="3079671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3C75BC9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2010 (30)</w:t>
      </w:r>
    </w:p>
    <w:p w14:paraId="0BD1E79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- V.N. Pilipko, "Nekotorye itogi arheologicheskih issledobanij na Staroj Nise”.</w:t>
      </w:r>
    </w:p>
    <w:p w14:paraId="0EAF79A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 w:bidi="it-IT"/>
        </w:rPr>
      </w:pPr>
    </w:p>
    <w:p w14:paraId="7CDAF30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2011 (31)</w:t>
      </w:r>
    </w:p>
    <w:p w14:paraId="76AA3AF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Eleonora Pappalardo, “Nisa Partica. 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rhyta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ellenistici”. </w:t>
      </w:r>
    </w:p>
    <w:p w14:paraId="7BA422D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62DA671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Parthica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 11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(2009), “Incontri di culture nel mondo antico – Afghanistan. I tesori ritrovati”.</w:t>
      </w:r>
    </w:p>
    <w:p w14:paraId="6FB24328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24C75942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>- A. Invernizzi, “</w:t>
      </w:r>
      <w:r w:rsidRPr="00FE4853">
        <w:rPr>
          <w:rFonts w:ascii="Adobe Gurmukhi" w:hAnsi="Adobe Gurmukhi" w:cs="Adobe Hebrew"/>
          <w:iCs/>
          <w:sz w:val="22"/>
          <w:szCs w:val="22"/>
          <w:lang w:eastAsia="it-IT"/>
        </w:rPr>
        <w:t>Nisa Partica. Le sculture ellenistiche”.</w:t>
      </w:r>
    </w:p>
    <w:p w14:paraId="0EB7F90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42D9DA1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- T. Sweek, St.J. Simpson, “An unfinished Achaemenid sculpture from Persepolis”.</w:t>
      </w:r>
    </w:p>
    <w:p w14:paraId="3A90559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 w:bidi="it-IT"/>
        </w:rPr>
      </w:pPr>
    </w:p>
    <w:p w14:paraId="4E301BEE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i/>
          <w:sz w:val="22"/>
          <w:szCs w:val="22"/>
          <w:lang w:eastAsia="it-IT" w:bidi="it-IT"/>
        </w:rPr>
        <w:t>STUDIA IRANICA</w:t>
      </w:r>
    </w:p>
    <w:p w14:paraId="26AC5B6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 w:bidi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 w:bidi="it-IT"/>
        </w:rPr>
        <w:t>2009 (38/1)</w:t>
      </w:r>
    </w:p>
    <w:p w14:paraId="3D3AF4A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G.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Khozhaniyazov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, “The military architecture of ancient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Chorasmia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”.</w:t>
      </w:r>
    </w:p>
    <w:p w14:paraId="19C97986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val="en-US" w:eastAsia="it-IT"/>
        </w:rPr>
      </w:pPr>
    </w:p>
    <w:p w14:paraId="6147DA00" w14:textId="77777777" w:rsidR="00FE4853" w:rsidRPr="00FE4853" w:rsidRDefault="00FE4853" w:rsidP="00FE4853">
      <w:pPr>
        <w:rPr>
          <w:rFonts w:ascii="Adobe Gurmukhi" w:hAnsi="Adobe Gurmukhi" w:cs="Adobe Hebrew"/>
          <w:bCs/>
          <w:i/>
          <w:sz w:val="22"/>
          <w:szCs w:val="22"/>
          <w:lang w:eastAsia="it-IT"/>
        </w:rPr>
      </w:pPr>
      <w:proofErr w:type="spellStart"/>
      <w:r w:rsidRPr="00FE4853">
        <w:rPr>
          <w:rFonts w:ascii="Adobe Gurmukhi" w:hAnsi="Adobe Gurmukhi" w:cs="Adobe Hebrew"/>
          <w:b/>
          <w:bCs/>
          <w:i/>
          <w:sz w:val="22"/>
          <w:szCs w:val="22"/>
          <w:lang w:eastAsia="it-IT"/>
        </w:rPr>
        <w:t>Brochures</w:t>
      </w:r>
      <w:proofErr w:type="spellEnd"/>
      <w:r w:rsidRPr="00FE4853">
        <w:rPr>
          <w:rFonts w:ascii="Adobe Gurmukhi" w:hAnsi="Adobe Gurmukhi" w:cs="Adobe Hebrew"/>
          <w:bCs/>
          <w:i/>
          <w:sz w:val="22"/>
          <w:szCs w:val="22"/>
          <w:lang w:eastAsia="it-IT"/>
        </w:rPr>
        <w:t>:</w:t>
      </w:r>
    </w:p>
    <w:p w14:paraId="1C83276A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2003, “Iraq: Archeologia e Tutela di un patrimonio culturale da salvare” in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Momenti e Luoghi del Mediterraneo: archeologia in Iraq, 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Jerash</w:t>
      </w:r>
      <w:proofErr w:type="spellEnd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, Beirut, Cartagine, Selinunte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(catalogo alla mostra), 7-13.</w:t>
      </w:r>
    </w:p>
    <w:p w14:paraId="6E8BD92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0617CB7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C., Messina V. 2008, Discoverers and discovery of Mesopotamia, in R.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Parapetti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(ed.)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Iraq Museum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edited with the contributions of State Board of Antiquities and Heritage-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MiBAC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-MAE-Centro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Scavi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Torino, 3-16.</w:t>
      </w:r>
    </w:p>
    <w:p w14:paraId="59E4B97E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36ACF1E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C., Messina V.,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Cellerino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A. 2008, History and Art of Mesopotamia, in R.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Parapetti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(ed.)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Iraq Museum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edited with the contributions of State Board of Antiquities and Heritage-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MiBAC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-MAE-Centro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Scavi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Torino, 17-25.</w:t>
      </w:r>
    </w:p>
    <w:p w14:paraId="23C8668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5A116949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Piacentini P., Lippolis C. (eds) 2009,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L’Iran dei Parti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catalogo alla mostra fotografica, Roma, febbraio-marzo 2009.</w:t>
      </w:r>
    </w:p>
    <w:p w14:paraId="6900EA1D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63223725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C., de Martino S. (eds) 2012,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Torino - Baghdad. Fifty years of collaboration between Italy and Iraq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, Eta Beta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s.c.s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., Torino.</w:t>
      </w:r>
    </w:p>
    <w:p w14:paraId="32AA73C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GB" w:eastAsia="it-IT"/>
        </w:rPr>
      </w:pPr>
    </w:p>
    <w:p w14:paraId="5027DA34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Manassero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N. (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eds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) 2011,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Gli splendori di Nisa Partica. Scavi italiani in Turkmenistan (1990-2011)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,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Eta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Beta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s.c.s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>, Torino.</w:t>
      </w:r>
    </w:p>
    <w:p w14:paraId="23EAD8F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</w:p>
    <w:p w14:paraId="0392D1BB" w14:textId="77777777" w:rsidR="00FE4853" w:rsidRPr="00FE4853" w:rsidRDefault="00FE4853" w:rsidP="00FE4853">
      <w:pPr>
        <w:rPr>
          <w:rFonts w:ascii="Adobe Gurmukhi" w:hAnsi="Adobe Gurmukhi" w:cs="Adobe Hebrew"/>
          <w:bCs/>
          <w:i/>
          <w:iCs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b/>
          <w:bCs/>
          <w:i/>
          <w:iCs/>
          <w:sz w:val="22"/>
          <w:szCs w:val="22"/>
          <w:lang w:eastAsia="it-IT"/>
        </w:rPr>
        <w:t>Riviste divulgative</w:t>
      </w:r>
      <w:r w:rsidRPr="00FE4853">
        <w:rPr>
          <w:rFonts w:ascii="Adobe Gurmukhi" w:hAnsi="Adobe Gurmukhi" w:cs="Adobe Hebrew"/>
          <w:bCs/>
          <w:i/>
          <w:iCs/>
          <w:sz w:val="22"/>
          <w:szCs w:val="22"/>
          <w:lang w:eastAsia="it-IT"/>
        </w:rPr>
        <w:t>:</w:t>
      </w:r>
    </w:p>
    <w:p w14:paraId="32849D6B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Lippolis 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C.,   “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. La Forteresse de Mithridate”, </w:t>
      </w: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Dossiers d’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Archèologie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, 2001, n. 171, 42-45.</w:t>
      </w:r>
    </w:p>
    <w:p w14:paraId="2497EB56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C., “La célébration d’une </w:t>
      </w:r>
      <w:proofErr w:type="gram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dynastie;</w:t>
      </w:r>
      <w:proofErr w:type="gram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Nisa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, forteresse arsacide », </w:t>
      </w: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Histoire Antique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>, n. 7 (Sept.-Nov.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2004), 66-71.</w:t>
      </w:r>
    </w:p>
    <w:p w14:paraId="732C176F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en-US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C., “Cultural Interaction between the East and West during the Parthian Period”, </w:t>
      </w:r>
      <w:r w:rsidRPr="00FE4853">
        <w:rPr>
          <w:rFonts w:ascii="Adobe Gurmukhi" w:hAnsi="Adobe Gurmukhi" w:cs="Adobe Hebrew"/>
          <w:i/>
          <w:sz w:val="22"/>
          <w:szCs w:val="22"/>
          <w:lang w:val="en-GB" w:eastAsia="it-IT"/>
        </w:rPr>
        <w:t>MIRAS</w:t>
      </w:r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,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>3/2004, 144-151.</w:t>
      </w:r>
    </w:p>
    <w:p w14:paraId="7D8BEB51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val="fr-FR"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C., “Les recherches italiennes sur l'Ancienne Nisa”, </w:t>
      </w:r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Dossiers d’</w:t>
      </w:r>
      <w:proofErr w:type="spellStart"/>
      <w:r w:rsidRPr="00FE4853">
        <w:rPr>
          <w:rFonts w:ascii="Adobe Gurmukhi" w:hAnsi="Adobe Gurmukhi" w:cs="Adobe Hebrew"/>
          <w:i/>
          <w:sz w:val="22"/>
          <w:szCs w:val="22"/>
          <w:lang w:val="fr-FR" w:eastAsia="it-IT"/>
        </w:rPr>
        <w:t>Archèologie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 317 (Oct. 2006), 58-65.</w:t>
      </w:r>
    </w:p>
    <w:p w14:paraId="7BCF7523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-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>Lippolis</w:t>
      </w:r>
      <w:proofErr w:type="spellEnd"/>
      <w:r w:rsidRPr="00FE4853">
        <w:rPr>
          <w:rFonts w:ascii="Adobe Gurmukhi" w:hAnsi="Adobe Gurmukhi" w:cs="Adobe Hebrew"/>
          <w:sz w:val="22"/>
          <w:szCs w:val="22"/>
          <w:lang w:val="en-GB" w:eastAsia="it-IT"/>
        </w:rPr>
        <w:t xml:space="preserve"> </w:t>
      </w:r>
      <w:r w:rsidRPr="00FE4853">
        <w:rPr>
          <w:rFonts w:ascii="Adobe Gurmukhi" w:hAnsi="Adobe Gurmukhi" w:cs="Adobe Hebrew"/>
          <w:sz w:val="22"/>
          <w:szCs w:val="22"/>
          <w:lang w:val="fr-FR" w:eastAsia="it-IT"/>
        </w:rPr>
        <w:t xml:space="preserve">C., </w:t>
      </w:r>
      <w:r w:rsidRPr="00FE4853">
        <w:rPr>
          <w:rFonts w:ascii="Adobe Gurmukhi" w:hAnsi="Adobe Gurmukhi" w:cs="Adobe Hebrew"/>
          <w:sz w:val="22"/>
          <w:szCs w:val="22"/>
          <w:lang w:val="en-US" w:eastAsia="it-IT"/>
        </w:rPr>
        <w:t xml:space="preserve">“Ninive. 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Il "palazzo senza eguali" di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Sennacherib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Il mondo della Bibbia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80, 2005, 36-42.</w:t>
      </w:r>
    </w:p>
    <w:p w14:paraId="60CDC383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Lippolis C. 2008, “I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rhyta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 di Nisa Partica e la celebrazione della dinastia </w:t>
      </w:r>
      <w:proofErr w:type="spellStart"/>
      <w:r w:rsidRPr="00FE4853">
        <w:rPr>
          <w:rFonts w:ascii="Adobe Gurmukhi" w:hAnsi="Adobe Gurmukhi" w:cs="Adobe Hebrew"/>
          <w:sz w:val="22"/>
          <w:szCs w:val="22"/>
          <w:lang w:eastAsia="it-IT"/>
        </w:rPr>
        <w:t>Arsacide</w:t>
      </w:r>
      <w:proofErr w:type="spellEnd"/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”,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 xml:space="preserve">Ligabue </w:t>
      </w:r>
      <w:proofErr w:type="gramStart"/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Magazine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 52</w:t>
      </w:r>
      <w:proofErr w:type="gramEnd"/>
      <w:r w:rsidRPr="00FE4853">
        <w:rPr>
          <w:rFonts w:ascii="Adobe Gurmukhi" w:hAnsi="Adobe Gurmukhi" w:cs="Adobe Hebrew"/>
          <w:sz w:val="22"/>
          <w:szCs w:val="22"/>
          <w:lang w:eastAsia="it-IT"/>
        </w:rPr>
        <w:t>, 84-115.</w:t>
      </w:r>
    </w:p>
    <w:p w14:paraId="50D265E9" w14:textId="77777777" w:rsidR="00FE4853" w:rsidRPr="00FE4853" w:rsidRDefault="00FE4853" w:rsidP="00FE4853">
      <w:pPr>
        <w:rPr>
          <w:rFonts w:ascii="Adobe Gurmukhi" w:hAnsi="Adobe Gurmukhi" w:cs="Adobe Hebrew"/>
          <w:b/>
          <w:i/>
          <w:sz w:val="22"/>
          <w:szCs w:val="22"/>
          <w:lang w:eastAsia="it-IT"/>
        </w:rPr>
      </w:pPr>
    </w:p>
    <w:p w14:paraId="329C7602" w14:textId="77777777" w:rsidR="00FE4853" w:rsidRPr="00FE4853" w:rsidRDefault="00FE4853" w:rsidP="00FE4853">
      <w:pPr>
        <w:rPr>
          <w:rFonts w:ascii="Adobe Gurmukhi" w:hAnsi="Adobe Gurmukhi" w:cs="Adobe Hebrew"/>
          <w:i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b/>
          <w:i/>
          <w:sz w:val="22"/>
          <w:szCs w:val="22"/>
          <w:lang w:eastAsia="it-IT"/>
        </w:rPr>
        <w:t>Varia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:</w:t>
      </w:r>
    </w:p>
    <w:p w14:paraId="376806D0" w14:textId="77777777" w:rsidR="00FE4853" w:rsidRPr="00FE4853" w:rsidRDefault="00FE4853" w:rsidP="00FE4853">
      <w:pPr>
        <w:rPr>
          <w:rFonts w:ascii="Adobe Gurmukhi" w:hAnsi="Adobe Gurmukhi" w:cs="Adobe Hebrew"/>
          <w:sz w:val="22"/>
          <w:szCs w:val="22"/>
          <w:lang w:eastAsia="it-IT"/>
        </w:rPr>
      </w:pPr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C. Lippolis, S. de Martino, A. Invernizzi, “Operazione Baghdad”,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Il Giornale dell’Arte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maggio 2009.</w:t>
      </w:r>
    </w:p>
    <w:p w14:paraId="66B4B574" w14:textId="2CDA3C78" w:rsidR="00304581" w:rsidRPr="00FE4853" w:rsidRDefault="00FE4853" w:rsidP="00FE4853">
      <w:r w:rsidRPr="00FE4853">
        <w:rPr>
          <w:rFonts w:ascii="Adobe Gurmukhi" w:hAnsi="Adobe Gurmukhi" w:cs="Adobe Hebrew"/>
          <w:sz w:val="22"/>
          <w:szCs w:val="22"/>
          <w:lang w:eastAsia="it-IT"/>
        </w:rPr>
        <w:t xml:space="preserve">- C. Lippolis, Recensione a: Paolo Brusasco, </w:t>
      </w:r>
      <w:r w:rsidRPr="00FE4853">
        <w:rPr>
          <w:rFonts w:ascii="Adobe Gurmukhi" w:hAnsi="Adobe Gurmukhi" w:cs="Adobe Hebrew"/>
          <w:i/>
          <w:sz w:val="22"/>
          <w:szCs w:val="22"/>
          <w:lang w:eastAsia="it-IT"/>
        </w:rPr>
        <w:t>Babilonia. All’origine del mito</w:t>
      </w:r>
      <w:r w:rsidRPr="00FE4853">
        <w:rPr>
          <w:rFonts w:ascii="Adobe Gurmukhi" w:hAnsi="Adobe Gurmukhi" w:cs="Adobe Hebrew"/>
          <w:sz w:val="22"/>
          <w:szCs w:val="22"/>
          <w:lang w:eastAsia="it-IT"/>
        </w:rPr>
        <w:t>, 2012, L’INDICE, maggio 2013.</w:t>
      </w:r>
    </w:p>
    <w:sectPr w:rsidR="00304581" w:rsidRPr="00FE4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dobe Gurmukhi">
    <w:altName w:val="Raavi"/>
    <w:panose1 w:val="020B0604020202020204"/>
    <w:charset w:val="00"/>
    <w:family w:val="auto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Hebrew">
    <w:panose1 w:val="020B0604020202020204"/>
    <w:charset w:val="00"/>
    <w:family w:val="auto"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A49A0"/>
    <w:multiLevelType w:val="hybridMultilevel"/>
    <w:tmpl w:val="E4AE7146"/>
    <w:lvl w:ilvl="0" w:tplc="1B10B590">
      <w:start w:val="2007"/>
      <w:numFmt w:val="bullet"/>
      <w:lvlText w:val="-"/>
      <w:lvlJc w:val="left"/>
      <w:pPr>
        <w:ind w:left="393" w:hanging="360"/>
      </w:pPr>
      <w:rPr>
        <w:rFonts w:ascii="Adobe Gurmukhi" w:eastAsia="Times New Roman" w:hAnsi="Adobe Gurmukh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53"/>
    <w:rsid w:val="00304581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A1D3"/>
  <w15:chartTrackingRefBased/>
  <w15:docId w15:val="{4BEB9CE5-34B3-7D45-87CE-45934DD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853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E4853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E4853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E4853"/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4853"/>
    <w:rPr>
      <w:rFonts w:ascii="Calibri" w:eastAsia="MS Gothic" w:hAnsi="Calibri" w:cs="Times New Roman"/>
      <w:b/>
      <w:bCs/>
      <w:sz w:val="26"/>
      <w:szCs w:val="26"/>
      <w:lang w:eastAsia="ar-SA"/>
    </w:rPr>
  </w:style>
  <w:style w:type="paragraph" w:styleId="Intestazione">
    <w:name w:val="header"/>
    <w:basedOn w:val="Normale"/>
    <w:link w:val="IntestazioneCarattere"/>
    <w:rsid w:val="00FE4853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48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E485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E485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FE485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FE48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FE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A6F13-D890-D847-97F7-6883B0BD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3740</Words>
  <Characters>21324</Characters>
  <Application>Microsoft Office Word</Application>
  <DocSecurity>0</DocSecurity>
  <Lines>177</Lines>
  <Paragraphs>50</Paragraphs>
  <ScaleCrop>false</ScaleCrop>
  <Company/>
  <LinksUpToDate>false</LinksUpToDate>
  <CharactersWithSpaces>25014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scavi Torino Centro scavi Torino</dc:creator>
  <cp:keywords/>
  <dc:description/>
  <cp:lastModifiedBy>Centro scavi Torino Centro scavi Torino</cp:lastModifiedBy>
  <cp:revision>1</cp:revision>
  <dcterms:created xsi:type="dcterms:W3CDTF">2021-03-28T07:51:00Z</dcterms:created>
  <dcterms:modified xsi:type="dcterms:W3CDTF">2021-03-28T07:55:00Z</dcterms:modified>
</cp:coreProperties>
</file>