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0616" w:rsidRDefault="00F20616" w:rsidP="004147F9">
      <w:pPr>
        <w:jc w:val="center"/>
        <w:rPr>
          <w:rFonts w:ascii="Times New Roman" w:hAnsi="Times New Roman"/>
          <w:b/>
          <w:bCs/>
          <w:sz w:val="22"/>
          <w:lang w:val="it-IT"/>
        </w:rPr>
      </w:pPr>
    </w:p>
    <w:p w:rsidR="00D249A5" w:rsidRDefault="009B4A1F" w:rsidP="009B4A1F">
      <w:pPr>
        <w:jc w:val="center"/>
        <w:rPr>
          <w:rFonts w:ascii="Times New Roman" w:eastAsia="Times New Roman" w:hAnsi="Times New Roman" w:cs="Arial Narrow"/>
          <w:b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Arial Narrow"/>
          <w:b/>
          <w:sz w:val="20"/>
          <w:szCs w:val="20"/>
          <w:lang w:val="it-IT" w:eastAsia="it-IT"/>
        </w:rPr>
        <w:t xml:space="preserve">Elenco pubblicazioni di Elisabetta Benigni </w:t>
      </w:r>
    </w:p>
    <w:p w:rsidR="004147F9" w:rsidRPr="004147F9" w:rsidRDefault="004147F9" w:rsidP="00F20616">
      <w:pPr>
        <w:autoSpaceDE w:val="0"/>
        <w:autoSpaceDN w:val="0"/>
        <w:adjustRightInd w:val="0"/>
        <w:spacing w:after="0" w:line="480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4147F9" w:rsidRPr="004147F9" w:rsidRDefault="004147F9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b/>
          <w:bCs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b/>
          <w:bCs/>
          <w:sz w:val="22"/>
          <w:szCs w:val="20"/>
          <w:lang w:val="it-IT" w:eastAsia="it-IT"/>
        </w:rPr>
        <w:t>Articoli</w:t>
      </w:r>
    </w:p>
    <w:p w:rsidR="00FC1C4B" w:rsidRDefault="00FC1C4B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4D0D6D" w:rsidRDefault="004D0D6D" w:rsidP="00FC1C4B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4D0D6D">
        <w:rPr>
          <w:rFonts w:ascii="Times New Roman" w:hAnsi="Times New Roman" w:cs="Times New Roman"/>
          <w:color w:val="000000"/>
          <w:lang w:val="en-US"/>
        </w:rPr>
        <w:t xml:space="preserve">«Encounters  between  Arabic  and  Western  literatures:  </w:t>
      </w:r>
      <w:proofErr w:type="spellStart"/>
      <w:r w:rsidRPr="004D0D6D">
        <w:rPr>
          <w:rFonts w:ascii="Times New Roman" w:hAnsi="Times New Roman" w:cs="Times New Roman"/>
          <w:color w:val="000000"/>
          <w:lang w:val="en-US"/>
        </w:rPr>
        <w:t>Emic</w:t>
      </w:r>
      <w:proofErr w:type="spellEnd"/>
      <w:r w:rsidRPr="004D0D6D">
        <w:rPr>
          <w:rFonts w:ascii="Times New Roman" w:hAnsi="Times New Roman" w:cs="Times New Roman"/>
          <w:color w:val="000000"/>
          <w:lang w:val="en-US"/>
        </w:rPr>
        <w:t xml:space="preserve">  Translations  and  </w:t>
      </w:r>
      <w:proofErr w:type="spellStart"/>
      <w:r w:rsidRPr="004D0D6D">
        <w:rPr>
          <w:rFonts w:ascii="Times New Roman" w:hAnsi="Times New Roman" w:cs="Times New Roman"/>
          <w:color w:val="000000"/>
          <w:lang w:val="en-US"/>
        </w:rPr>
        <w:t>Etic</w:t>
      </w:r>
      <w:proofErr w:type="spellEnd"/>
      <w:r w:rsidRPr="004D0D6D">
        <w:rPr>
          <w:rFonts w:ascii="Times New Roman" w:hAnsi="Times New Roman" w:cs="Times New Roman"/>
          <w:color w:val="000000"/>
          <w:lang w:val="en-US"/>
        </w:rPr>
        <w:t xml:space="preserve"> Formation  of Literary  Canons»,  </w:t>
      </w:r>
      <w:proofErr w:type="spellStart"/>
      <w:r w:rsidRPr="004D0D6D">
        <w:rPr>
          <w:rFonts w:ascii="Times New Roman" w:hAnsi="Times New Roman" w:cs="Times New Roman"/>
          <w:i/>
          <w:color w:val="000000"/>
          <w:lang w:val="en-US"/>
        </w:rPr>
        <w:t>Rivista</w:t>
      </w:r>
      <w:proofErr w:type="spellEnd"/>
      <w:r w:rsidRPr="004D0D6D">
        <w:rPr>
          <w:rFonts w:ascii="Times New Roman" w:hAnsi="Times New Roman" w:cs="Times New Roman"/>
          <w:i/>
          <w:color w:val="000000"/>
          <w:lang w:val="en-US"/>
        </w:rPr>
        <w:t xml:space="preserve">  </w:t>
      </w:r>
      <w:proofErr w:type="spellStart"/>
      <w:r w:rsidRPr="004D0D6D">
        <w:rPr>
          <w:rFonts w:ascii="Times New Roman" w:hAnsi="Times New Roman" w:cs="Times New Roman"/>
          <w:i/>
          <w:color w:val="000000"/>
          <w:lang w:val="en-US"/>
        </w:rPr>
        <w:t>degli</w:t>
      </w:r>
      <w:proofErr w:type="spellEnd"/>
      <w:r w:rsidRPr="004D0D6D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4D0D6D">
        <w:rPr>
          <w:rFonts w:ascii="Times New Roman" w:hAnsi="Times New Roman" w:cs="Times New Roman"/>
          <w:i/>
          <w:color w:val="000000"/>
          <w:lang w:val="en-US"/>
        </w:rPr>
        <w:t>Studi</w:t>
      </w:r>
      <w:proofErr w:type="spellEnd"/>
      <w:r w:rsidRPr="004D0D6D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4D0D6D">
        <w:rPr>
          <w:rFonts w:ascii="Times New Roman" w:hAnsi="Times New Roman" w:cs="Times New Roman"/>
          <w:i/>
          <w:color w:val="000000"/>
          <w:lang w:val="en-US"/>
        </w:rPr>
        <w:t>Orientali</w:t>
      </w:r>
      <w:proofErr w:type="spellEnd"/>
      <w:r w:rsidRPr="004D0D6D">
        <w:rPr>
          <w:rFonts w:ascii="Times New Roman" w:hAnsi="Times New Roman" w:cs="Times New Roman"/>
          <w:color w:val="000000"/>
          <w:lang w:val="en-US"/>
        </w:rPr>
        <w:t>,  n. 84, 2012</w:t>
      </w:r>
    </w:p>
    <w:p w:rsidR="00FC1C4B" w:rsidRDefault="00FC1C4B" w:rsidP="00FC1C4B">
      <w:pPr>
        <w:jc w:val="both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«</w:t>
      </w:r>
      <w:r w:rsidRPr="00FC1C4B">
        <w:rPr>
          <w:rFonts w:asciiTheme="majorBidi" w:hAnsiTheme="majorBidi" w:cstheme="majorBidi"/>
          <w:lang w:val="it-IT"/>
        </w:rPr>
        <w:t>La libertà e le rivoluzioni nel caffè Karnak di Naǧīb Maḥfūz: un modello di letteratura di resistenza al potere</w:t>
      </w:r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»</w:t>
      </w:r>
      <w:r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,</w:t>
      </w:r>
      <w:r>
        <w:rPr>
          <w:rFonts w:asciiTheme="majorBidi" w:hAnsiTheme="majorBidi" w:cstheme="majorBidi"/>
          <w:lang w:val="it-IT"/>
        </w:rPr>
        <w:t xml:space="preserve"> </w:t>
      </w:r>
      <w:r w:rsidRPr="00FC1C4B">
        <w:rPr>
          <w:rFonts w:ascii="Times New Roman" w:eastAsia="Times New Roman" w:hAnsi="Times New Roman" w:cs="Arial Narrow"/>
          <w:i/>
          <w:sz w:val="22"/>
          <w:szCs w:val="20"/>
          <w:lang w:val="it-IT" w:eastAsia="it-IT"/>
        </w:rPr>
        <w:t xml:space="preserve">La Rivista di </w:t>
      </w:r>
      <w:proofErr w:type="spellStart"/>
      <w:r w:rsidRPr="00FC1C4B">
        <w:rPr>
          <w:rFonts w:ascii="Times New Roman" w:eastAsia="Times New Roman" w:hAnsi="Times New Roman" w:cs="Arial Narrow"/>
          <w:i/>
          <w:sz w:val="22"/>
          <w:szCs w:val="20"/>
          <w:lang w:val="it-IT" w:eastAsia="it-IT"/>
        </w:rPr>
        <w:t>Arablit</w:t>
      </w:r>
      <w:proofErr w:type="spellEnd"/>
      <w:r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, I, 3, 2012</w:t>
      </w:r>
    </w:p>
    <w:p w:rsidR="00FC1C4B" w:rsidRPr="004147F9" w:rsidRDefault="00FC1C4B" w:rsidP="00FC1C4B">
      <w:pPr>
        <w:autoSpaceDE w:val="0"/>
        <w:autoSpaceDN w:val="0"/>
        <w:adjustRightInd w:val="0"/>
        <w:spacing w:after="0" w:line="276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«Il realismo immaginario di Gerusalemme» in E. Benigni, M. Marconi, D. </w:t>
      </w:r>
      <w:proofErr w:type="spellStart"/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Salemi</w:t>
      </w:r>
      <w:proofErr w:type="spellEnd"/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, </w:t>
      </w:r>
      <w:r w:rsidRPr="004147F9">
        <w:rPr>
          <w:rFonts w:ascii="Times New Roman" w:eastAsia="Times New Roman" w:hAnsi="Times New Roman" w:cs="Arial Narrow"/>
          <w:i/>
          <w:sz w:val="22"/>
          <w:szCs w:val="20"/>
          <w:lang w:val="it-IT" w:eastAsia="it-IT"/>
        </w:rPr>
        <w:t xml:space="preserve">Quattro studi su </w:t>
      </w:r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>Gerusalemme</w:t>
      </w:r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, a cura di B. </w:t>
      </w:r>
      <w:proofErr w:type="spellStart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Scarcia</w:t>
      </w:r>
      <w:proofErr w:type="spellEnd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 Amoretti,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 La Sapienza Orientale, Nuova Cultura, Roma, 2012, pp. 269-346, ISBN 9788861347854</w:t>
      </w:r>
    </w:p>
    <w:p w:rsidR="00FC1C4B" w:rsidRPr="004147F9" w:rsidRDefault="00FC1C4B" w:rsidP="00FC1C4B">
      <w:pPr>
        <w:autoSpaceDE w:val="0"/>
        <w:autoSpaceDN w:val="0"/>
        <w:adjustRightInd w:val="0"/>
        <w:spacing w:after="0" w:line="276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FC1C4B" w:rsidRDefault="00FC1C4B" w:rsidP="00FC1C4B">
      <w:pPr>
        <w:autoSpaceDE w:val="0"/>
        <w:autoSpaceDN w:val="0"/>
        <w:adjustRightInd w:val="0"/>
        <w:spacing w:after="0" w:line="276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«La Divina Commedia nel mondo arabo: studi, orien</w:t>
      </w:r>
      <w:r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tamenti critici e traduzioni», </w:t>
      </w:r>
      <w:r w:rsidRPr="004147F9">
        <w:rPr>
          <w:rFonts w:ascii="Times New Roman" w:eastAsia="Times New Roman" w:hAnsi="Times New Roman" w:cs="Arial Narrow"/>
          <w:i/>
          <w:sz w:val="22"/>
          <w:szCs w:val="20"/>
          <w:lang w:val="it-IT" w:eastAsia="it-IT"/>
        </w:rPr>
        <w:t>Critica del testo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, XIV / 3, 2011, pp. 391- 413, ISBN 9788883346392</w:t>
      </w:r>
    </w:p>
    <w:p w:rsidR="00FC1C4B" w:rsidRPr="004147F9" w:rsidRDefault="00FC1C4B" w:rsidP="00FC1C4B">
      <w:pPr>
        <w:autoSpaceDE w:val="0"/>
        <w:autoSpaceDN w:val="0"/>
        <w:adjustRightInd w:val="0"/>
        <w:spacing w:after="0" w:line="276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FC1C4B" w:rsidRDefault="00FC1C4B" w:rsidP="00FC1C4B">
      <w:pPr>
        <w:autoSpaceDE w:val="0"/>
        <w:autoSpaceDN w:val="0"/>
        <w:adjustRightInd w:val="0"/>
        <w:spacing w:after="0" w:line="276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«A </w:t>
      </w:r>
      <w:proofErr w:type="spellStart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travelogue</w:t>
      </w:r>
      <w:proofErr w:type="spellEnd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 </w:t>
      </w:r>
      <w:proofErr w:type="spellStart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through</w:t>
      </w:r>
      <w:proofErr w:type="spellEnd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 </w:t>
      </w:r>
      <w:proofErr w:type="spellStart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prison</w:t>
      </w:r>
      <w:proofErr w:type="spellEnd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 </w:t>
      </w:r>
      <w:proofErr w:type="spellStart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novel</w:t>
      </w:r>
      <w:proofErr w:type="spellEnd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 and </w:t>
      </w:r>
      <w:proofErr w:type="spellStart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autobiography</w:t>
      </w:r>
      <w:proofErr w:type="spellEnd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: </w:t>
      </w:r>
      <w:proofErr w:type="spellStart"/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e</w:t>
      </w:r>
      <w:r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veryday</w:t>
      </w:r>
      <w:proofErr w:type="spellEnd"/>
      <w:r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 life, </w:t>
      </w:r>
      <w:proofErr w:type="spellStart"/>
      <w:r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memories</w:t>
      </w:r>
      <w:proofErr w:type="spellEnd"/>
      <w:r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, </w:t>
      </w:r>
      <w:proofErr w:type="spellStart"/>
      <w:r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ideals</w:t>
      </w:r>
      <w:proofErr w:type="spellEnd"/>
      <w:r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»,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 </w:t>
      </w:r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>Miscellanea Arabica 2008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, La Sapienza Orientale, 2008, pp. 11-24, ISBN 978886134171</w:t>
      </w:r>
    </w:p>
    <w:p w:rsidR="00FC1C4B" w:rsidRPr="004147F9" w:rsidRDefault="00FC1C4B" w:rsidP="00FC1C4B">
      <w:pPr>
        <w:autoSpaceDE w:val="0"/>
        <w:autoSpaceDN w:val="0"/>
        <w:adjustRightInd w:val="0"/>
        <w:spacing w:after="0" w:line="276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FC1C4B" w:rsidRPr="004147F9" w:rsidRDefault="00FC1C4B" w:rsidP="00FC1C4B">
      <w:pPr>
        <w:autoSpaceDE w:val="0"/>
        <w:autoSpaceDN w:val="0"/>
        <w:adjustRightInd w:val="0"/>
        <w:spacing w:after="0" w:line="276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«Evasioni letterarie dallo spazio della segregazione: qualche riflessione comparativa sull’immagine del carcere in due testi poetici»</w:t>
      </w:r>
      <w:r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,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 </w:t>
      </w:r>
      <w:proofErr w:type="spellStart"/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>Dirasat</w:t>
      </w:r>
      <w:proofErr w:type="spellEnd"/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 xml:space="preserve"> </w:t>
      </w:r>
      <w:proofErr w:type="spellStart"/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>Aryuliyya</w:t>
      </w:r>
      <w:proofErr w:type="spellEnd"/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 xml:space="preserve">. Studi in onore del Prof. Angelo </w:t>
      </w:r>
      <w:proofErr w:type="spellStart"/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>Arioli</w:t>
      </w:r>
      <w:proofErr w:type="spellEnd"/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, AA.VV., a c. di G. </w:t>
      </w:r>
      <w:proofErr w:type="spellStart"/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Lancioni</w:t>
      </w:r>
      <w:proofErr w:type="spellEnd"/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 e O. </w:t>
      </w:r>
      <w:proofErr w:type="spellStart"/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Durand</w:t>
      </w:r>
      <w:proofErr w:type="spellEnd"/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, La Sapienza Orientale, Nuova Cultura, 2007, pp. 117-137, ISBN 978886134092</w:t>
      </w:r>
    </w:p>
    <w:p w:rsidR="00FC1C4B" w:rsidRPr="00FC1C4B" w:rsidRDefault="00FC1C4B" w:rsidP="00FC1C4B">
      <w:pPr>
        <w:jc w:val="both"/>
        <w:rPr>
          <w:rFonts w:asciiTheme="majorBidi" w:hAnsiTheme="majorBidi" w:cstheme="majorBidi"/>
          <w:lang w:val="it-IT"/>
        </w:rPr>
      </w:pPr>
    </w:p>
    <w:p w:rsidR="004147F9" w:rsidRPr="004147F9" w:rsidRDefault="004147F9" w:rsidP="00F20616">
      <w:pPr>
        <w:autoSpaceDE w:val="0"/>
        <w:autoSpaceDN w:val="0"/>
        <w:adjustRightInd w:val="0"/>
        <w:spacing w:after="0" w:line="276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 xml:space="preserve">«Autobiografismo, conflitto e follia nella scrittura di 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Bahā’ Ṭāhir</w:t>
      </w:r>
      <w:r w:rsidRPr="004147F9">
        <w:rPr>
          <w:rFonts w:ascii="Times New Roman" w:eastAsia="Times New Roman" w:hAnsi="Times New Roman" w:cs="Arial Narrow"/>
          <w:iCs/>
          <w:sz w:val="22"/>
          <w:szCs w:val="20"/>
          <w:lang w:val="it-IT" w:eastAsia="it-IT"/>
        </w:rPr>
        <w:t>»</w:t>
      </w:r>
      <w:r w:rsidR="00FC1C4B">
        <w:rPr>
          <w:rFonts w:ascii="Times New Roman" w:eastAsia="Times New Roman" w:hAnsi="Times New Roman" w:cs="Arial Narrow"/>
          <w:i/>
          <w:sz w:val="22"/>
          <w:szCs w:val="20"/>
          <w:lang w:val="it-IT" w:eastAsia="it-IT"/>
        </w:rPr>
        <w:t>,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 </w:t>
      </w:r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>Arabica 2007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, La Sapienza Orientale, 2007, pp. 9-35, ISBN 978886134052</w:t>
      </w:r>
    </w:p>
    <w:p w:rsidR="004147F9" w:rsidRPr="004147F9" w:rsidRDefault="004147F9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4147F9" w:rsidRPr="004147F9" w:rsidRDefault="004147F9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b/>
          <w:bCs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b/>
          <w:bCs/>
          <w:sz w:val="22"/>
          <w:szCs w:val="20"/>
          <w:lang w:val="it-IT" w:eastAsia="it-IT"/>
        </w:rPr>
        <w:t>Monografie</w:t>
      </w:r>
    </w:p>
    <w:p w:rsidR="004147F9" w:rsidRPr="004147F9" w:rsidRDefault="004147F9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4147F9" w:rsidRPr="004147F9" w:rsidRDefault="004147F9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>Il carcere come spazio letterario: ricognizioni sul genere dell’</w:t>
      </w:r>
      <w:proofErr w:type="spellStart"/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>adab</w:t>
      </w:r>
      <w:proofErr w:type="spellEnd"/>
      <w:r w:rsidRPr="004147F9">
        <w:rPr>
          <w:rFonts w:ascii="Times New Roman" w:eastAsia="Times New Roman" w:hAnsi="Times New Roman" w:cs="Arial Narrow"/>
          <w:i/>
          <w:iCs/>
          <w:sz w:val="22"/>
          <w:szCs w:val="20"/>
          <w:lang w:val="it-IT" w:eastAsia="it-IT"/>
        </w:rPr>
        <w:t xml:space="preserve"> al-suğūn nell’Egitto tra Nasser e Sadat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, La Sapienza Orientale, Nuova Cultura, Roma, 2009, ISBN 9788861343573</w:t>
      </w:r>
    </w:p>
    <w:p w:rsidR="004147F9" w:rsidRPr="004147F9" w:rsidRDefault="004147F9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4147F9" w:rsidRPr="004147F9" w:rsidRDefault="004147F9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b/>
          <w:bCs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b/>
          <w:bCs/>
          <w:sz w:val="22"/>
          <w:szCs w:val="20"/>
          <w:lang w:val="it-IT" w:eastAsia="it-IT"/>
        </w:rPr>
        <w:t>Recensioni</w:t>
      </w:r>
    </w:p>
    <w:p w:rsidR="004147F9" w:rsidRPr="004147F9" w:rsidRDefault="004147F9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54797E" w:rsidRDefault="004147F9" w:rsidP="00F20616">
      <w:pPr>
        <w:autoSpaceDE w:val="0"/>
        <w:autoSpaceDN w:val="0"/>
        <w:adjustRightInd w:val="0"/>
        <w:spacing w:after="0" w:line="360" w:lineRule="auto"/>
        <w:jc w:val="mediumKashida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«Elvira Diana. La letteratura della Libia. Dall’epoc</w:t>
      </w:r>
      <w:r w:rsidR="00FC1C4B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a coloniale ai nostri giorni»,</w:t>
      </w:r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 </w:t>
      </w:r>
      <w:r w:rsidRPr="00FC1C4B">
        <w:rPr>
          <w:rFonts w:ascii="Times New Roman" w:eastAsia="Times New Roman" w:hAnsi="Times New Roman" w:cs="Arial Narrow"/>
          <w:i/>
          <w:sz w:val="22"/>
          <w:szCs w:val="20"/>
          <w:lang w:val="it-IT" w:eastAsia="it-IT"/>
        </w:rPr>
        <w:t xml:space="preserve">La Rivista di </w:t>
      </w:r>
      <w:proofErr w:type="spellStart"/>
      <w:r w:rsidRPr="00FC1C4B">
        <w:rPr>
          <w:rFonts w:ascii="Times New Roman" w:eastAsia="Times New Roman" w:hAnsi="Times New Roman" w:cs="Arial Narrow"/>
          <w:i/>
          <w:sz w:val="22"/>
          <w:szCs w:val="20"/>
          <w:lang w:val="it-IT" w:eastAsia="it-IT"/>
        </w:rPr>
        <w:t>Arablit</w:t>
      </w:r>
      <w:proofErr w:type="spellEnd"/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 xml:space="preserve">, I, 2, 2011, </w:t>
      </w:r>
      <w:hyperlink r:id="rId4" w:history="1">
        <w:r w:rsidRPr="004147F9">
          <w:rPr>
            <w:rStyle w:val="Collegamentoipertestuale"/>
            <w:rFonts w:ascii="Times New Roman" w:eastAsia="Times New Roman" w:hAnsi="Times New Roman" w:cs="Arial Narrow"/>
            <w:sz w:val="22"/>
            <w:szCs w:val="20"/>
            <w:lang w:val="it-IT" w:eastAsia="it-IT"/>
          </w:rPr>
          <w:t>http://www.arablit.it/la_rivista_di_arablit.html</w:t>
        </w:r>
      </w:hyperlink>
      <w:r w:rsidRPr="004147F9">
        <w:rPr>
          <w:rFonts w:ascii="Times New Roman" w:eastAsia="Times New Roman" w:hAnsi="Times New Roman" w:cs="Arial Narrow"/>
          <w:sz w:val="22"/>
          <w:szCs w:val="20"/>
          <w:lang w:val="it-IT" w:eastAsia="it-IT"/>
        </w:rPr>
        <w:t>, ISSN 22394168</w:t>
      </w:r>
    </w:p>
    <w:p w:rsidR="004147F9" w:rsidRDefault="004147F9" w:rsidP="00F20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4147F9" w:rsidRDefault="004147F9" w:rsidP="00F20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 Narrow"/>
          <w:sz w:val="22"/>
          <w:szCs w:val="20"/>
          <w:lang w:val="it-IT" w:eastAsia="it-IT"/>
        </w:rPr>
      </w:pPr>
    </w:p>
    <w:p w:rsidR="00AB24E4" w:rsidRPr="004147F9" w:rsidRDefault="004D0D6D">
      <w:pPr>
        <w:rPr>
          <w:rFonts w:ascii="Times New Roman" w:hAnsi="Times New Roman"/>
          <w:sz w:val="22"/>
          <w:lang w:val="it-IT"/>
        </w:rPr>
      </w:pPr>
    </w:p>
    <w:sectPr w:rsidR="00AB24E4" w:rsidRPr="004147F9" w:rsidSect="00AB24E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797E"/>
    <w:rsid w:val="00316FF2"/>
    <w:rsid w:val="004147F9"/>
    <w:rsid w:val="004D0D6D"/>
    <w:rsid w:val="004D22A8"/>
    <w:rsid w:val="00522E79"/>
    <w:rsid w:val="0054797E"/>
    <w:rsid w:val="00574324"/>
    <w:rsid w:val="007F6A17"/>
    <w:rsid w:val="008A1B15"/>
    <w:rsid w:val="009B4A1F"/>
    <w:rsid w:val="00AC2FC1"/>
    <w:rsid w:val="00C27574"/>
    <w:rsid w:val="00D249A5"/>
    <w:rsid w:val="00F20616"/>
    <w:rsid w:val="00F635CC"/>
    <w:rsid w:val="00FC1C4B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05EFB"/>
    <w:rPr>
      <w:lang w:val="en-GB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rsid w:val="00414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5E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4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ablit.it/la_rivista_di_arablit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1530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La Sapienza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Benigni</dc:creator>
  <cp:lastModifiedBy>Elisabetta Benigni</cp:lastModifiedBy>
  <cp:revision>8</cp:revision>
  <cp:lastPrinted>2011-01-08T13:57:00Z</cp:lastPrinted>
  <dcterms:created xsi:type="dcterms:W3CDTF">2012-01-23T19:30:00Z</dcterms:created>
  <dcterms:modified xsi:type="dcterms:W3CDTF">2012-12-06T19:48:00Z</dcterms:modified>
</cp:coreProperties>
</file>